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9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390"/>
        <w:gridCol w:w="2403"/>
      </w:tblGrid>
      <w:tr w:rsidR="006B22BD" w:rsidRPr="00AB72AE" w14:paraId="3321C5FD" w14:textId="77777777" w:rsidTr="00577FC9">
        <w:trPr>
          <w:cantSplit/>
        </w:trPr>
        <w:tc>
          <w:tcPr>
            <w:tcW w:w="1390" w:type="dxa"/>
          </w:tcPr>
          <w:p w14:paraId="6AC392FE" w14:textId="77777777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Enquiries to:</w:t>
            </w:r>
          </w:p>
        </w:tc>
        <w:tc>
          <w:tcPr>
            <w:tcW w:w="2403" w:type="dxa"/>
          </w:tcPr>
          <w:p w14:paraId="6BEB0B6A" w14:textId="77777777" w:rsidR="006B22BD" w:rsidRPr="00AB72AE" w:rsidRDefault="006B22BD" w:rsidP="00577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Linda Bertram</w:t>
            </w:r>
          </w:p>
        </w:tc>
      </w:tr>
      <w:tr w:rsidR="006B22BD" w:rsidRPr="00AB72AE" w14:paraId="09295307" w14:textId="77777777" w:rsidTr="00577FC9">
        <w:trPr>
          <w:cantSplit/>
        </w:trPr>
        <w:tc>
          <w:tcPr>
            <w:tcW w:w="1390" w:type="dxa"/>
          </w:tcPr>
          <w:p w14:paraId="31B544B7" w14:textId="77777777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219F71A" w14:textId="77FB9CF5" w:rsidR="006B22BD" w:rsidRPr="00AB72AE" w:rsidRDefault="006B22BD" w:rsidP="00577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A/</w:t>
            </w:r>
            <w:r w:rsidR="00401EDD">
              <w:rPr>
                <w:rFonts w:ascii="Arial" w:hAnsi="Arial" w:cs="Arial"/>
                <w:sz w:val="16"/>
                <w:szCs w:val="16"/>
              </w:rPr>
              <w:t xml:space="preserve">Director </w:t>
            </w:r>
          </w:p>
        </w:tc>
      </w:tr>
      <w:tr w:rsidR="006B22BD" w:rsidRPr="00AB72AE" w14:paraId="617C7CC6" w14:textId="77777777" w:rsidTr="00577FC9">
        <w:trPr>
          <w:cantSplit/>
        </w:trPr>
        <w:tc>
          <w:tcPr>
            <w:tcW w:w="1390" w:type="dxa"/>
          </w:tcPr>
          <w:p w14:paraId="1162D7F6" w14:textId="77777777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803B67C" w14:textId="390194C2" w:rsidR="006B22BD" w:rsidRPr="00AB72AE" w:rsidRDefault="006B22BD" w:rsidP="00577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 xml:space="preserve">Immunisation </w:t>
            </w:r>
            <w:r w:rsidR="00401EDD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</w:tr>
      <w:tr w:rsidR="006B22BD" w:rsidRPr="00AB72AE" w14:paraId="09AEF898" w14:textId="77777777" w:rsidTr="00577FC9">
        <w:trPr>
          <w:cantSplit/>
        </w:trPr>
        <w:tc>
          <w:tcPr>
            <w:tcW w:w="1390" w:type="dxa"/>
          </w:tcPr>
          <w:p w14:paraId="7FCBADF0" w14:textId="77777777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  <w:tc>
          <w:tcPr>
            <w:tcW w:w="2403" w:type="dxa"/>
          </w:tcPr>
          <w:p w14:paraId="43DCD39D" w14:textId="77777777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(07) 3328 9701</w:t>
            </w:r>
          </w:p>
        </w:tc>
      </w:tr>
      <w:tr w:rsidR="006B22BD" w:rsidRPr="00AB72AE" w14:paraId="218F799D" w14:textId="77777777" w:rsidTr="00577FC9">
        <w:trPr>
          <w:cantSplit/>
        </w:trPr>
        <w:tc>
          <w:tcPr>
            <w:tcW w:w="1390" w:type="dxa"/>
          </w:tcPr>
          <w:p w14:paraId="1883886F" w14:textId="77777777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File Ref:</w:t>
            </w:r>
          </w:p>
        </w:tc>
        <w:tc>
          <w:tcPr>
            <w:tcW w:w="2403" w:type="dxa"/>
          </w:tcPr>
          <w:p w14:paraId="0915BA0F" w14:textId="039D7BF0" w:rsidR="006B22BD" w:rsidRPr="00AB72AE" w:rsidRDefault="006B22BD" w:rsidP="00577FC9">
            <w:pPr>
              <w:ind w:left="1026" w:hanging="10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2AE">
              <w:rPr>
                <w:rFonts w:ascii="Arial" w:hAnsi="Arial" w:cs="Arial"/>
                <w:sz w:val="16"/>
                <w:szCs w:val="16"/>
              </w:rPr>
              <w:t>C-ECTF-</w:t>
            </w:r>
            <w:r w:rsidR="008D574E">
              <w:rPr>
                <w:rFonts w:ascii="Arial" w:hAnsi="Arial" w:cs="Arial"/>
                <w:sz w:val="16"/>
                <w:szCs w:val="16"/>
              </w:rPr>
              <w:t>23/12210</w:t>
            </w:r>
          </w:p>
        </w:tc>
      </w:tr>
    </w:tbl>
    <w:p w14:paraId="63AED6FE" w14:textId="77777777" w:rsidR="008B0006" w:rsidRPr="00AB72AE" w:rsidRDefault="008B0006" w:rsidP="005645F4">
      <w:pPr>
        <w:tabs>
          <w:tab w:val="left" w:pos="6210"/>
          <w:tab w:val="left" w:pos="7458"/>
        </w:tabs>
        <w:jc w:val="both"/>
        <w:rPr>
          <w:rFonts w:ascii="Arial" w:hAnsi="Arial" w:cs="Arial"/>
          <w:sz w:val="22"/>
          <w:szCs w:val="22"/>
        </w:rPr>
        <w:sectPr w:rsidR="008B0006" w:rsidRPr="00AB72AE" w:rsidSect="003E3249">
          <w:footerReference w:type="default" r:id="rId8"/>
          <w:headerReference w:type="first" r:id="rId9"/>
          <w:footerReference w:type="first" r:id="rId10"/>
          <w:pgSz w:w="11896" w:h="16834" w:code="9"/>
          <w:pgMar w:top="2475" w:right="991" w:bottom="340" w:left="1134" w:header="284" w:footer="192" w:gutter="0"/>
          <w:cols w:space="720"/>
          <w:titlePg/>
        </w:sectPr>
      </w:pPr>
    </w:p>
    <w:p w14:paraId="63AED6FF" w14:textId="77777777" w:rsidR="00CC4580" w:rsidRPr="00AB72AE" w:rsidRDefault="00CC4580" w:rsidP="003E3249">
      <w:pPr>
        <w:jc w:val="both"/>
        <w:rPr>
          <w:rFonts w:ascii="Arial" w:hAnsi="Arial" w:cs="Arial"/>
          <w:sz w:val="22"/>
          <w:szCs w:val="22"/>
        </w:rPr>
      </w:pPr>
      <w:bookmarkStart w:id="0" w:name="Text"/>
      <w:bookmarkEnd w:id="0"/>
    </w:p>
    <w:p w14:paraId="2DBC03B9" w14:textId="77777777" w:rsidR="002D2361" w:rsidRPr="00AB72AE" w:rsidRDefault="002D2361" w:rsidP="002D2361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Dear Principal</w:t>
      </w:r>
    </w:p>
    <w:p w14:paraId="20E78C4D" w14:textId="77777777" w:rsidR="002D2361" w:rsidRPr="00AB72AE" w:rsidRDefault="002D2361" w:rsidP="002D2361">
      <w:pPr>
        <w:pStyle w:val="BodyText"/>
        <w:rPr>
          <w:rFonts w:ascii="Arial" w:hAnsi="Arial" w:cs="Arial"/>
          <w:sz w:val="22"/>
          <w:szCs w:val="22"/>
        </w:rPr>
      </w:pPr>
    </w:p>
    <w:p w14:paraId="375FF264" w14:textId="1CCD18CE" w:rsidR="007B4887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I write to inform you about an important change regarding meningococcal vaccination for Year 10 students.</w:t>
      </w:r>
    </w:p>
    <w:p w14:paraId="76E2B560" w14:textId="77777777" w:rsidR="007B4887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</w:p>
    <w:p w14:paraId="71C328EC" w14:textId="033D5ACD" w:rsidR="007B4887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 xml:space="preserve">Meningococcal disease is a rare but serious infection caused by bacteria that can enter the body through the nose or throat. Around one-third of children and adolescents who survive meningococcal disease develop permanent complications. </w:t>
      </w:r>
    </w:p>
    <w:p w14:paraId="63D11448" w14:textId="77777777" w:rsidR="007B4887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</w:p>
    <w:p w14:paraId="1BE5453E" w14:textId="15F4B29D" w:rsidR="006543B6" w:rsidRPr="00AB72AE" w:rsidRDefault="006543B6" w:rsidP="007B4887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Students in Year 10 are routinely offered free vaccination to protect against meningococcal strains A, C, W, and Y through the Queensland School Immunisation Program</w:t>
      </w:r>
      <w:r w:rsidR="00AB72AE">
        <w:rPr>
          <w:rFonts w:ascii="Arial" w:hAnsi="Arial" w:cs="Arial"/>
          <w:sz w:val="22"/>
          <w:szCs w:val="22"/>
        </w:rPr>
        <w:t xml:space="preserve"> (SIP)</w:t>
      </w:r>
      <w:r w:rsidRPr="00AB72AE">
        <w:rPr>
          <w:rFonts w:ascii="Arial" w:hAnsi="Arial" w:cs="Arial"/>
          <w:sz w:val="22"/>
          <w:szCs w:val="22"/>
        </w:rPr>
        <w:t xml:space="preserve">. This vaccine is given in a single dose. </w:t>
      </w:r>
    </w:p>
    <w:p w14:paraId="45369D88" w14:textId="77777777" w:rsidR="007B4887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</w:p>
    <w:p w14:paraId="6BE8880C" w14:textId="2EDDA420" w:rsidR="00347D78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b/>
          <w:bCs/>
          <w:sz w:val="22"/>
          <w:szCs w:val="22"/>
        </w:rPr>
        <w:t xml:space="preserve">Starting in the 2024 school year, </w:t>
      </w:r>
      <w:r w:rsidR="006543B6" w:rsidRPr="00AB72AE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AB72AE">
        <w:rPr>
          <w:rFonts w:ascii="Arial" w:hAnsi="Arial" w:cs="Arial"/>
          <w:b/>
          <w:bCs/>
          <w:sz w:val="22"/>
          <w:szCs w:val="22"/>
        </w:rPr>
        <w:t xml:space="preserve">Queensland </w:t>
      </w:r>
      <w:r w:rsidR="00AB72AE">
        <w:rPr>
          <w:rFonts w:ascii="Arial" w:hAnsi="Arial" w:cs="Arial"/>
          <w:b/>
          <w:bCs/>
          <w:sz w:val="22"/>
          <w:szCs w:val="22"/>
        </w:rPr>
        <w:t>SIP</w:t>
      </w:r>
      <w:r w:rsidRPr="00AB72AE">
        <w:rPr>
          <w:rFonts w:ascii="Arial" w:hAnsi="Arial" w:cs="Arial"/>
          <w:b/>
          <w:bCs/>
          <w:sz w:val="22"/>
          <w:szCs w:val="22"/>
        </w:rPr>
        <w:t xml:space="preserve"> will also provide </w:t>
      </w:r>
      <w:r w:rsidR="009815C4">
        <w:rPr>
          <w:rFonts w:ascii="Arial" w:hAnsi="Arial" w:cs="Arial"/>
          <w:b/>
          <w:bCs/>
          <w:sz w:val="22"/>
          <w:szCs w:val="22"/>
        </w:rPr>
        <w:t xml:space="preserve">Year 10 students </w:t>
      </w:r>
      <w:r w:rsidRPr="00AB72AE">
        <w:rPr>
          <w:rFonts w:ascii="Arial" w:hAnsi="Arial" w:cs="Arial"/>
          <w:b/>
          <w:bCs/>
          <w:sz w:val="22"/>
          <w:szCs w:val="22"/>
        </w:rPr>
        <w:t>vaccination against meningococcal B</w:t>
      </w:r>
      <w:r w:rsidR="00AB72AE">
        <w:rPr>
          <w:rFonts w:ascii="Arial" w:hAnsi="Arial" w:cs="Arial"/>
          <w:b/>
          <w:bCs/>
          <w:sz w:val="22"/>
          <w:szCs w:val="22"/>
        </w:rPr>
        <w:t xml:space="preserve"> (menB)</w:t>
      </w:r>
      <w:r w:rsidRPr="00AB72AE">
        <w:rPr>
          <w:rFonts w:ascii="Arial" w:hAnsi="Arial" w:cs="Arial"/>
          <w:sz w:val="22"/>
          <w:szCs w:val="22"/>
        </w:rPr>
        <w:t xml:space="preserve">. </w:t>
      </w:r>
      <w:r w:rsidR="00347D78" w:rsidRPr="00AB72AE">
        <w:rPr>
          <w:rFonts w:ascii="Arial" w:hAnsi="Arial" w:cs="Arial"/>
          <w:sz w:val="22"/>
          <w:szCs w:val="22"/>
        </w:rPr>
        <w:t xml:space="preserve">The </w:t>
      </w:r>
      <w:r w:rsidR="00AB72AE">
        <w:rPr>
          <w:rFonts w:ascii="Arial" w:hAnsi="Arial" w:cs="Arial"/>
          <w:sz w:val="22"/>
          <w:szCs w:val="22"/>
        </w:rPr>
        <w:t>menB</w:t>
      </w:r>
      <w:r w:rsidR="00347D78" w:rsidRPr="00AB72AE">
        <w:rPr>
          <w:rFonts w:ascii="Arial" w:hAnsi="Arial" w:cs="Arial"/>
          <w:sz w:val="22"/>
          <w:szCs w:val="22"/>
        </w:rPr>
        <w:t xml:space="preserve"> vaccine will be delivered in two doses </w:t>
      </w:r>
      <w:r w:rsidR="00E3423B">
        <w:rPr>
          <w:rFonts w:ascii="Arial" w:hAnsi="Arial" w:cs="Arial"/>
          <w:sz w:val="22"/>
          <w:szCs w:val="22"/>
        </w:rPr>
        <w:t xml:space="preserve">with a minimum of eight weeks between doses </w:t>
      </w:r>
      <w:r w:rsidR="00347D78" w:rsidRPr="00AB72AE">
        <w:rPr>
          <w:rFonts w:ascii="Arial" w:hAnsi="Arial" w:cs="Arial"/>
          <w:sz w:val="22"/>
          <w:szCs w:val="22"/>
        </w:rPr>
        <w:t xml:space="preserve">to ensure effective protection. </w:t>
      </w:r>
    </w:p>
    <w:p w14:paraId="7CD42BF0" w14:textId="77777777" w:rsidR="00347D78" w:rsidRPr="00AB72AE" w:rsidRDefault="00347D78" w:rsidP="007B4887">
      <w:pPr>
        <w:pStyle w:val="BodyText"/>
        <w:rPr>
          <w:rFonts w:ascii="Arial" w:hAnsi="Arial" w:cs="Arial"/>
          <w:sz w:val="22"/>
          <w:szCs w:val="22"/>
        </w:rPr>
      </w:pPr>
    </w:p>
    <w:p w14:paraId="5B46370E" w14:textId="6A58BC6A" w:rsidR="007B4887" w:rsidRPr="00AB72AE" w:rsidRDefault="007B4887" w:rsidP="007B4887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This change is in response to the emergence of menB as the most common cause of illness and death from meningococcal disease in Queensland.</w:t>
      </w:r>
    </w:p>
    <w:p w14:paraId="20A7BC7C" w14:textId="77777777" w:rsidR="00B76720" w:rsidRPr="00AB72AE" w:rsidRDefault="00B76720" w:rsidP="00C327AB">
      <w:pPr>
        <w:pStyle w:val="BodyText"/>
        <w:rPr>
          <w:rFonts w:ascii="Arial" w:hAnsi="Arial" w:cs="Arial"/>
          <w:sz w:val="22"/>
          <w:szCs w:val="22"/>
        </w:rPr>
      </w:pPr>
    </w:p>
    <w:p w14:paraId="60E15AD6" w14:textId="77777777" w:rsidR="00FB04DE" w:rsidRPr="00AB72AE" w:rsidRDefault="00FB04DE" w:rsidP="00B76720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 xml:space="preserve">The Australian Technical Advisory Group on Immunisation (ATAGI) recommends menB vaccination for several at-risk groups, including adolescents aged 15-19 years. </w:t>
      </w:r>
    </w:p>
    <w:p w14:paraId="3BEECC58" w14:textId="77777777" w:rsidR="00FB04DE" w:rsidRPr="00AB72AE" w:rsidRDefault="00FB04DE" w:rsidP="00B76720">
      <w:pPr>
        <w:pStyle w:val="BodyText"/>
        <w:rPr>
          <w:rFonts w:ascii="Arial" w:hAnsi="Arial" w:cs="Arial"/>
          <w:sz w:val="22"/>
          <w:szCs w:val="22"/>
        </w:rPr>
      </w:pPr>
    </w:p>
    <w:p w14:paraId="4E9BF1D5" w14:textId="77777777" w:rsidR="006543B6" w:rsidRPr="00AB72AE" w:rsidRDefault="007B4887" w:rsidP="00B76720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Previously</w:t>
      </w:r>
      <w:r w:rsidR="00B76720" w:rsidRPr="00AB72AE">
        <w:rPr>
          <w:rFonts w:ascii="Arial" w:hAnsi="Arial" w:cs="Arial"/>
          <w:sz w:val="22"/>
          <w:szCs w:val="22"/>
        </w:rPr>
        <w:t xml:space="preserve">, funded menB vaccine was only available for Aboriginal and Torres Strait Islander children and individuals with specific medical risk factors. </w:t>
      </w:r>
    </w:p>
    <w:p w14:paraId="492A720C" w14:textId="77777777" w:rsidR="006543B6" w:rsidRPr="00AB72AE" w:rsidRDefault="006543B6" w:rsidP="00B76720">
      <w:pPr>
        <w:pStyle w:val="BodyText"/>
        <w:rPr>
          <w:rFonts w:ascii="Arial" w:hAnsi="Arial" w:cs="Arial"/>
          <w:sz w:val="22"/>
          <w:szCs w:val="22"/>
        </w:rPr>
      </w:pPr>
    </w:p>
    <w:p w14:paraId="0E27A650" w14:textId="3AA68D2E" w:rsidR="00B76720" w:rsidRPr="00AB72AE" w:rsidRDefault="007B4887" w:rsidP="00B76720">
      <w:pPr>
        <w:pStyle w:val="BodyText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T</w:t>
      </w:r>
      <w:r w:rsidR="00B76720" w:rsidRPr="00AB72AE">
        <w:rPr>
          <w:rFonts w:ascii="Arial" w:hAnsi="Arial" w:cs="Arial"/>
          <w:sz w:val="22"/>
          <w:szCs w:val="22"/>
        </w:rPr>
        <w:t>he Queensland</w:t>
      </w:r>
      <w:r w:rsidR="00AB72AE">
        <w:rPr>
          <w:rFonts w:ascii="Arial" w:hAnsi="Arial" w:cs="Arial"/>
          <w:sz w:val="22"/>
          <w:szCs w:val="22"/>
        </w:rPr>
        <w:t xml:space="preserve"> Meningococcal B</w:t>
      </w:r>
      <w:r w:rsidR="00B76720" w:rsidRPr="00AB72AE">
        <w:rPr>
          <w:rFonts w:ascii="Arial" w:hAnsi="Arial" w:cs="Arial"/>
          <w:sz w:val="22"/>
          <w:szCs w:val="22"/>
        </w:rPr>
        <w:t xml:space="preserve"> </w:t>
      </w:r>
      <w:r w:rsidR="00AB72AE">
        <w:rPr>
          <w:rFonts w:ascii="Arial" w:hAnsi="Arial" w:cs="Arial"/>
          <w:sz w:val="22"/>
          <w:szCs w:val="22"/>
        </w:rPr>
        <w:t>(</w:t>
      </w:r>
      <w:r w:rsidR="00B76720" w:rsidRPr="00AB72AE">
        <w:rPr>
          <w:rFonts w:ascii="Arial" w:hAnsi="Arial" w:cs="Arial"/>
          <w:sz w:val="22"/>
          <w:szCs w:val="22"/>
        </w:rPr>
        <w:t>MenB</w:t>
      </w:r>
      <w:r w:rsidR="00AB72AE">
        <w:rPr>
          <w:rFonts w:ascii="Arial" w:hAnsi="Arial" w:cs="Arial"/>
          <w:sz w:val="22"/>
          <w:szCs w:val="22"/>
        </w:rPr>
        <w:t>)</w:t>
      </w:r>
      <w:r w:rsidR="00B76720" w:rsidRPr="00AB72AE">
        <w:rPr>
          <w:rFonts w:ascii="Arial" w:hAnsi="Arial" w:cs="Arial"/>
          <w:sz w:val="22"/>
          <w:szCs w:val="22"/>
        </w:rPr>
        <w:t xml:space="preserve"> Vaccination Program will now make the menB vaccine available free of charge to all eligible infants, children, and adolescents in Queensland.</w:t>
      </w:r>
      <w:r w:rsidR="00347D78" w:rsidRPr="00AB72AE">
        <w:rPr>
          <w:rFonts w:ascii="Arial" w:hAnsi="Arial" w:cs="Arial"/>
          <w:sz w:val="22"/>
          <w:szCs w:val="22"/>
        </w:rPr>
        <w:t xml:space="preserve"> This change signifies an important step in safeguarding the health </w:t>
      </w:r>
      <w:r w:rsidR="006543B6" w:rsidRPr="00AB72AE">
        <w:rPr>
          <w:rFonts w:ascii="Arial" w:hAnsi="Arial" w:cs="Arial"/>
          <w:sz w:val="22"/>
          <w:szCs w:val="22"/>
        </w:rPr>
        <w:t>of young people</w:t>
      </w:r>
      <w:r w:rsidR="00347D78" w:rsidRPr="00AB72AE">
        <w:rPr>
          <w:rFonts w:ascii="Arial" w:hAnsi="Arial" w:cs="Arial"/>
          <w:sz w:val="22"/>
          <w:szCs w:val="22"/>
        </w:rPr>
        <w:t xml:space="preserve"> against this serious infection.</w:t>
      </w:r>
    </w:p>
    <w:p w14:paraId="1E8DB16E" w14:textId="5DBABD5D" w:rsidR="00B76720" w:rsidRPr="00AB72AE" w:rsidRDefault="00B76720" w:rsidP="00B76720">
      <w:pPr>
        <w:pStyle w:val="BodyText"/>
        <w:rPr>
          <w:rFonts w:ascii="Arial" w:hAnsi="Arial" w:cs="Arial"/>
          <w:sz w:val="22"/>
          <w:szCs w:val="22"/>
        </w:rPr>
      </w:pPr>
    </w:p>
    <w:p w14:paraId="33DB63CC" w14:textId="721A81C1" w:rsidR="002D2361" w:rsidRPr="00AB72AE" w:rsidRDefault="00401EDD" w:rsidP="002D236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Some </w:t>
      </w:r>
      <w:r w:rsidR="002D2361" w:rsidRPr="00AB72AE">
        <w:rPr>
          <w:rFonts w:ascii="Arial" w:hAnsi="Arial" w:cs="Arial"/>
          <w:color w:val="000000" w:themeColor="text1"/>
          <w:sz w:val="22"/>
          <w:szCs w:val="22"/>
        </w:rPr>
        <w:t xml:space="preserve">planned </w:t>
      </w:r>
      <w:r w:rsidR="006B22BD" w:rsidRPr="00AB72AE">
        <w:rPr>
          <w:rFonts w:ascii="Arial" w:hAnsi="Arial" w:cs="Arial"/>
          <w:color w:val="000000" w:themeColor="text1"/>
          <w:sz w:val="22"/>
          <w:szCs w:val="22"/>
        </w:rPr>
        <w:t>SIP</w:t>
      </w:r>
      <w:r w:rsidR="002D2361" w:rsidRPr="00AB72AE">
        <w:rPr>
          <w:rFonts w:ascii="Arial" w:hAnsi="Arial" w:cs="Arial"/>
          <w:color w:val="000000" w:themeColor="text1"/>
          <w:sz w:val="22"/>
          <w:szCs w:val="22"/>
        </w:rPr>
        <w:t xml:space="preserve"> clinics at your school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2D2361" w:rsidRPr="00AB72AE">
        <w:rPr>
          <w:rFonts w:ascii="Arial" w:hAnsi="Arial" w:cs="Arial"/>
          <w:color w:val="000000" w:themeColor="text1"/>
          <w:sz w:val="22"/>
          <w:szCs w:val="22"/>
        </w:rPr>
        <w:t xml:space="preserve">be affected. Your </w:t>
      </w:r>
      <w:r w:rsidR="006B22BD" w:rsidRPr="00AB72AE">
        <w:rPr>
          <w:rFonts w:ascii="Arial" w:hAnsi="Arial" w:cs="Arial"/>
          <w:color w:val="000000" w:themeColor="text1"/>
          <w:sz w:val="22"/>
          <w:szCs w:val="22"/>
        </w:rPr>
        <w:t>SIP provider</w:t>
      </w:r>
      <w:r w:rsidR="002D2361" w:rsidRPr="00AB72AE">
        <w:rPr>
          <w:rFonts w:ascii="Arial" w:hAnsi="Arial" w:cs="Arial"/>
          <w:color w:val="000000" w:themeColor="text1"/>
          <w:sz w:val="22"/>
          <w:szCs w:val="22"/>
        </w:rPr>
        <w:t xml:space="preserve"> will be able to provide you with more information</w:t>
      </w:r>
      <w:r w:rsidR="006B22BD" w:rsidRPr="00AB72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376823" w14:textId="77777777" w:rsidR="00347D78" w:rsidRPr="00AB72AE" w:rsidRDefault="00347D78" w:rsidP="00347D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B23020" w14:textId="5943CFCD" w:rsidR="002D2361" w:rsidRPr="00AB72AE" w:rsidRDefault="002D2361" w:rsidP="002D236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72AE">
        <w:rPr>
          <w:rFonts w:ascii="Arial" w:hAnsi="Arial" w:cs="Arial"/>
          <w:color w:val="000000" w:themeColor="text1"/>
          <w:sz w:val="22"/>
          <w:szCs w:val="22"/>
        </w:rPr>
        <w:t xml:space="preserve">It is important to notify parents </w:t>
      </w:r>
      <w:r w:rsidR="006543B6" w:rsidRPr="00AB72AE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AB72AE" w:rsidRPr="00AB72AE">
        <w:rPr>
          <w:rFonts w:ascii="Arial" w:hAnsi="Arial" w:cs="Arial"/>
          <w:color w:val="000000" w:themeColor="text1"/>
          <w:sz w:val="22"/>
          <w:szCs w:val="22"/>
        </w:rPr>
        <w:t>Y</w:t>
      </w:r>
      <w:r w:rsidR="006543B6" w:rsidRPr="00AB72AE">
        <w:rPr>
          <w:rFonts w:ascii="Arial" w:hAnsi="Arial" w:cs="Arial"/>
          <w:color w:val="000000" w:themeColor="text1"/>
          <w:sz w:val="22"/>
          <w:szCs w:val="22"/>
        </w:rPr>
        <w:t xml:space="preserve">ear 10 students </w:t>
      </w:r>
      <w:r w:rsidR="00910528">
        <w:rPr>
          <w:rFonts w:ascii="Arial" w:hAnsi="Arial" w:cs="Arial"/>
          <w:color w:val="000000" w:themeColor="text1"/>
          <w:sz w:val="22"/>
          <w:szCs w:val="22"/>
        </w:rPr>
        <w:t xml:space="preserve">in 2024 </w:t>
      </w:r>
      <w:r w:rsidR="00347D78" w:rsidRPr="00AB72AE">
        <w:rPr>
          <w:rFonts w:ascii="Arial" w:hAnsi="Arial" w:cs="Arial"/>
          <w:color w:val="000000" w:themeColor="text1"/>
          <w:sz w:val="22"/>
          <w:szCs w:val="22"/>
        </w:rPr>
        <w:t>about this change</w:t>
      </w:r>
      <w:r w:rsidRPr="00AB72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47D78" w:rsidRPr="00AB72AE">
        <w:rPr>
          <w:rFonts w:ascii="Arial" w:hAnsi="Arial" w:cs="Arial"/>
          <w:color w:val="000000" w:themeColor="text1"/>
          <w:sz w:val="22"/>
          <w:szCs w:val="22"/>
        </w:rPr>
        <w:t>Please draw upon content provided in the attached information sheet to communicate</w:t>
      </w:r>
      <w:r w:rsidR="006543B6" w:rsidRPr="00AB72AE">
        <w:rPr>
          <w:rFonts w:ascii="Arial" w:hAnsi="Arial" w:cs="Arial"/>
          <w:color w:val="000000" w:themeColor="text1"/>
          <w:sz w:val="22"/>
          <w:szCs w:val="22"/>
        </w:rPr>
        <w:t xml:space="preserve"> the details of the change</w:t>
      </w:r>
      <w:r w:rsidR="00347D78" w:rsidRPr="00AB7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72AE" w:rsidRPr="00AB72AE">
        <w:rPr>
          <w:rFonts w:ascii="Arial" w:hAnsi="Arial" w:cs="Arial"/>
          <w:color w:val="000000" w:themeColor="text1"/>
          <w:sz w:val="22"/>
          <w:szCs w:val="22"/>
        </w:rPr>
        <w:t xml:space="preserve">to relevant parents </w:t>
      </w:r>
      <w:r w:rsidR="006543B6" w:rsidRPr="00AB72AE">
        <w:rPr>
          <w:rFonts w:ascii="Arial" w:hAnsi="Arial" w:cs="Arial"/>
          <w:color w:val="000000" w:themeColor="text1"/>
          <w:sz w:val="22"/>
          <w:szCs w:val="22"/>
        </w:rPr>
        <w:t>via your school’s established channels (</w:t>
      </w:r>
      <w:proofErr w:type="gramStart"/>
      <w:r w:rsidR="006543B6" w:rsidRPr="00AB72AE">
        <w:rPr>
          <w:rFonts w:ascii="Arial" w:hAnsi="Arial" w:cs="Arial"/>
          <w:color w:val="000000" w:themeColor="text1"/>
          <w:sz w:val="22"/>
          <w:szCs w:val="22"/>
        </w:rPr>
        <w:t>e.g.</w:t>
      </w:r>
      <w:proofErr w:type="gramEnd"/>
      <w:r w:rsidR="006543B6" w:rsidRPr="00AB72AE">
        <w:rPr>
          <w:rFonts w:ascii="Arial" w:hAnsi="Arial" w:cs="Arial"/>
          <w:color w:val="000000" w:themeColor="text1"/>
          <w:sz w:val="22"/>
          <w:szCs w:val="22"/>
        </w:rPr>
        <w:t xml:space="preserve"> newsletters, emails). </w:t>
      </w:r>
    </w:p>
    <w:p w14:paraId="66ED41BF" w14:textId="77777777" w:rsidR="002D2361" w:rsidRPr="00AB72AE" w:rsidRDefault="002D2361" w:rsidP="002D2361">
      <w:pPr>
        <w:jc w:val="both"/>
        <w:rPr>
          <w:rFonts w:ascii="Arial" w:hAnsi="Arial" w:cs="Arial"/>
          <w:sz w:val="22"/>
          <w:szCs w:val="22"/>
        </w:rPr>
      </w:pPr>
    </w:p>
    <w:p w14:paraId="3700328D" w14:textId="77777777" w:rsidR="002D2361" w:rsidRPr="00AB72AE" w:rsidRDefault="002D2361" w:rsidP="002D2361">
      <w:pPr>
        <w:jc w:val="both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Please note:</w:t>
      </w:r>
    </w:p>
    <w:p w14:paraId="79835E20" w14:textId="1509CC8F" w:rsidR="006543B6" w:rsidRPr="00AB72AE" w:rsidRDefault="002D2361" w:rsidP="002D2361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AB72AE">
        <w:rPr>
          <w:rFonts w:ascii="Arial" w:hAnsi="Arial" w:cs="Arial"/>
        </w:rPr>
        <w:t xml:space="preserve">Parents of </w:t>
      </w:r>
      <w:r w:rsidR="006543B6" w:rsidRPr="00AB72AE">
        <w:rPr>
          <w:rFonts w:ascii="Arial" w:hAnsi="Arial" w:cs="Arial"/>
        </w:rPr>
        <w:t xml:space="preserve">each </w:t>
      </w:r>
      <w:r w:rsidR="00401EDD">
        <w:rPr>
          <w:rFonts w:ascii="Arial" w:hAnsi="Arial" w:cs="Arial"/>
        </w:rPr>
        <w:t>Y</w:t>
      </w:r>
      <w:r w:rsidRPr="00AB72AE">
        <w:rPr>
          <w:rFonts w:ascii="Arial" w:hAnsi="Arial" w:cs="Arial"/>
        </w:rPr>
        <w:t xml:space="preserve">ear </w:t>
      </w:r>
      <w:r w:rsidR="00FB04DE" w:rsidRPr="00AB72AE">
        <w:rPr>
          <w:rFonts w:ascii="Arial" w:hAnsi="Arial" w:cs="Arial"/>
        </w:rPr>
        <w:t>10</w:t>
      </w:r>
      <w:r w:rsidRPr="00AB72AE">
        <w:rPr>
          <w:rFonts w:ascii="Arial" w:hAnsi="Arial" w:cs="Arial"/>
        </w:rPr>
        <w:t xml:space="preserve"> student will receive</w:t>
      </w:r>
      <w:r w:rsidR="006543B6" w:rsidRPr="00AB72AE">
        <w:rPr>
          <w:rFonts w:ascii="Arial" w:hAnsi="Arial" w:cs="Arial"/>
        </w:rPr>
        <w:t xml:space="preserve"> a pack containing an</w:t>
      </w:r>
      <w:r w:rsidRPr="00AB72AE">
        <w:rPr>
          <w:rFonts w:ascii="Arial" w:hAnsi="Arial" w:cs="Arial"/>
        </w:rPr>
        <w:t xml:space="preserve"> information</w:t>
      </w:r>
      <w:r w:rsidR="006543B6" w:rsidRPr="00AB72AE">
        <w:rPr>
          <w:rFonts w:ascii="Arial" w:hAnsi="Arial" w:cs="Arial"/>
        </w:rPr>
        <w:t xml:space="preserve"> sheet about both meningococcal vaccines</w:t>
      </w:r>
      <w:r w:rsidRPr="00AB72AE">
        <w:rPr>
          <w:rFonts w:ascii="Arial" w:hAnsi="Arial" w:cs="Arial"/>
        </w:rPr>
        <w:t xml:space="preserve"> and a consent form. </w:t>
      </w:r>
      <w:r w:rsidR="006543B6" w:rsidRPr="00AB72AE">
        <w:rPr>
          <w:rFonts w:ascii="Arial" w:hAnsi="Arial" w:cs="Arial"/>
        </w:rPr>
        <w:t>Students will not be vaccinated unless a signed consent form has been returned to the school.</w:t>
      </w:r>
    </w:p>
    <w:p w14:paraId="1DA00FDC" w14:textId="659AAA47" w:rsidR="002D2361" w:rsidRPr="00AB72AE" w:rsidRDefault="002D2361" w:rsidP="002D2361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AB72AE">
        <w:rPr>
          <w:rFonts w:ascii="Arial" w:hAnsi="Arial" w:cs="Arial"/>
          <w:color w:val="000000" w:themeColor="text1"/>
        </w:rPr>
        <w:t xml:space="preserve">Parents who did not receive, or misplaced the vaccination consent form, can download it </w:t>
      </w:r>
      <w:r w:rsidRPr="00AB72AE">
        <w:rPr>
          <w:rFonts w:ascii="Arial" w:hAnsi="Arial" w:cs="Arial"/>
        </w:rPr>
        <w:t xml:space="preserve">at </w:t>
      </w:r>
      <w:hyperlink r:id="rId11" w:history="1">
        <w:r w:rsidRPr="00AB72AE">
          <w:rPr>
            <w:rStyle w:val="Hyperlink"/>
            <w:rFonts w:ascii="Arial" w:hAnsi="Arial" w:cs="Arial"/>
            <w:lang w:eastAsia="en-AU"/>
          </w:rPr>
          <w:t>https://www.publications.qld.gov.au/dataset/school-based-vaccination-program</w:t>
        </w:r>
      </w:hyperlink>
      <w:r w:rsidRPr="00AB72AE">
        <w:rPr>
          <w:rFonts w:ascii="Arial" w:hAnsi="Arial" w:cs="Arial"/>
        </w:rPr>
        <w:t xml:space="preserve"> </w:t>
      </w:r>
    </w:p>
    <w:p w14:paraId="40F695D0" w14:textId="56D03D24" w:rsidR="002D2361" w:rsidRPr="00AB72AE" w:rsidRDefault="002D2361" w:rsidP="002D2361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AB72AE">
        <w:rPr>
          <w:rFonts w:ascii="Arial" w:hAnsi="Arial" w:cs="Arial"/>
        </w:rPr>
        <w:t xml:space="preserve">Parents can be reassured that </w:t>
      </w:r>
      <w:r w:rsidR="00AB72AE" w:rsidRPr="00AB72AE">
        <w:rPr>
          <w:rFonts w:ascii="Arial" w:hAnsi="Arial" w:cs="Arial"/>
        </w:rPr>
        <w:t>both meningococcal</w:t>
      </w:r>
      <w:r w:rsidR="00FB04DE" w:rsidRPr="00AB72AE">
        <w:rPr>
          <w:rFonts w:ascii="Arial" w:hAnsi="Arial" w:cs="Arial"/>
        </w:rPr>
        <w:t xml:space="preserve"> vaccine</w:t>
      </w:r>
      <w:r w:rsidR="00AB72AE" w:rsidRPr="00AB72AE">
        <w:rPr>
          <w:rFonts w:ascii="Arial" w:hAnsi="Arial" w:cs="Arial"/>
        </w:rPr>
        <w:t>s are</w:t>
      </w:r>
      <w:r w:rsidR="00FB04DE" w:rsidRPr="00AB72AE">
        <w:rPr>
          <w:rFonts w:ascii="Arial" w:hAnsi="Arial" w:cs="Arial"/>
        </w:rPr>
        <w:t xml:space="preserve"> safe and effective at preventing meningococcal disease.</w:t>
      </w:r>
    </w:p>
    <w:p w14:paraId="71491264" w14:textId="77777777" w:rsidR="00910528" w:rsidRDefault="00FB04DE" w:rsidP="00910528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lastRenderedPageBreak/>
        <w:t>P</w:t>
      </w:r>
      <w:r w:rsidR="002D2361" w:rsidRPr="00AB72AE">
        <w:rPr>
          <w:rFonts w:ascii="Arial" w:hAnsi="Arial" w:cs="Arial"/>
          <w:sz w:val="22"/>
          <w:szCs w:val="22"/>
        </w:rPr>
        <w:t>eople with certain conditions</w:t>
      </w:r>
      <w:r w:rsidRPr="00AB72AE">
        <w:rPr>
          <w:rFonts w:ascii="Arial" w:hAnsi="Arial" w:cs="Arial"/>
          <w:sz w:val="22"/>
          <w:szCs w:val="22"/>
        </w:rPr>
        <w:t xml:space="preserve"> may require extra doses of </w:t>
      </w:r>
      <w:r w:rsidR="00AB72AE" w:rsidRPr="00AB72AE">
        <w:rPr>
          <w:rFonts w:ascii="Arial" w:hAnsi="Arial" w:cs="Arial"/>
          <w:sz w:val="22"/>
          <w:szCs w:val="22"/>
        </w:rPr>
        <w:t>meningococcal</w:t>
      </w:r>
      <w:r w:rsidRPr="00AB72AE">
        <w:rPr>
          <w:rFonts w:ascii="Arial" w:hAnsi="Arial" w:cs="Arial"/>
          <w:sz w:val="22"/>
          <w:szCs w:val="22"/>
        </w:rPr>
        <w:t xml:space="preserve"> vaccines; they should talk to their doctor about their individual circumstances. </w:t>
      </w:r>
    </w:p>
    <w:p w14:paraId="07A6AB61" w14:textId="597714C3" w:rsidR="00910528" w:rsidRPr="00910528" w:rsidRDefault="00910528" w:rsidP="00910528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10528">
        <w:rPr>
          <w:rFonts w:ascii="Arial" w:hAnsi="Arial" w:cs="Arial"/>
          <w:sz w:val="22"/>
          <w:szCs w:val="22"/>
        </w:rPr>
        <w:t>Adolescents aged 15-19 years who are not vaccinated through the school program can get catch-up vaccines free of charge through a network of more than 2,000 Queensland Health registered vaccine service providers, including GPs, community vaccination clinics, and Aboriginal and Torres Strait Islander Health Services.</w:t>
      </w:r>
    </w:p>
    <w:p w14:paraId="151F8DE6" w14:textId="77777777" w:rsidR="003E0886" w:rsidRPr="00AB72AE" w:rsidRDefault="003E0886" w:rsidP="003E0886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52DEB56" w14:textId="27D5F337" w:rsidR="002D2361" w:rsidRPr="00AB72AE" w:rsidRDefault="002D2361" w:rsidP="00F845BA">
      <w:pPr>
        <w:jc w:val="both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 xml:space="preserve">Questions about this change can be directed to your School Immunisation Program </w:t>
      </w:r>
      <w:r w:rsidR="006B22BD" w:rsidRPr="00AB72AE">
        <w:rPr>
          <w:rFonts w:ascii="Arial" w:hAnsi="Arial" w:cs="Arial"/>
          <w:sz w:val="22"/>
          <w:szCs w:val="22"/>
        </w:rPr>
        <w:t>provider</w:t>
      </w:r>
      <w:r w:rsidRPr="00AB72AE">
        <w:rPr>
          <w:rFonts w:ascii="Arial" w:hAnsi="Arial" w:cs="Arial"/>
          <w:sz w:val="22"/>
          <w:szCs w:val="22"/>
        </w:rPr>
        <w:t xml:space="preserve"> or the Queensland</w:t>
      </w:r>
      <w:r w:rsidR="00401EDD">
        <w:rPr>
          <w:rFonts w:ascii="Arial" w:hAnsi="Arial" w:cs="Arial"/>
          <w:sz w:val="22"/>
          <w:szCs w:val="22"/>
        </w:rPr>
        <w:t xml:space="preserve"> Health</w:t>
      </w:r>
      <w:r w:rsidRPr="00AB72AE">
        <w:rPr>
          <w:rFonts w:ascii="Arial" w:hAnsi="Arial" w:cs="Arial"/>
          <w:sz w:val="22"/>
          <w:szCs w:val="22"/>
        </w:rPr>
        <w:t xml:space="preserve"> Immunisation Program at </w:t>
      </w:r>
      <w:hyperlink r:id="rId12" w:history="1">
        <w:r w:rsidRPr="00AB72AE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immunisation@health.qld.gov.au</w:t>
        </w:r>
      </w:hyperlink>
      <w:r w:rsidRPr="00AB72AE">
        <w:rPr>
          <w:rFonts w:ascii="Arial" w:hAnsi="Arial" w:cs="Arial"/>
          <w:sz w:val="22"/>
          <w:szCs w:val="22"/>
        </w:rPr>
        <w:t xml:space="preserve"> </w:t>
      </w:r>
    </w:p>
    <w:p w14:paraId="1CDAC8A9" w14:textId="77777777" w:rsidR="003E0886" w:rsidRPr="00AB72AE" w:rsidRDefault="003E0886" w:rsidP="002D2361">
      <w:pPr>
        <w:jc w:val="both"/>
        <w:rPr>
          <w:rFonts w:ascii="Arial" w:hAnsi="Arial" w:cs="Arial"/>
          <w:sz w:val="22"/>
          <w:szCs w:val="22"/>
        </w:rPr>
      </w:pPr>
    </w:p>
    <w:p w14:paraId="1FF33B19" w14:textId="47518151" w:rsidR="002D2361" w:rsidRPr="00AB72AE" w:rsidRDefault="002D2361" w:rsidP="00F845BA">
      <w:pPr>
        <w:jc w:val="both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More information can be found at:</w:t>
      </w:r>
    </w:p>
    <w:p w14:paraId="512EFE7B" w14:textId="2B317E10" w:rsidR="002D2361" w:rsidRPr="00AB72AE" w:rsidRDefault="002D2361" w:rsidP="002D2361">
      <w:pPr>
        <w:jc w:val="both"/>
        <w:rPr>
          <w:rFonts w:ascii="Arial" w:hAnsi="Arial" w:cs="Arial"/>
          <w:sz w:val="22"/>
          <w:szCs w:val="22"/>
        </w:rPr>
      </w:pPr>
    </w:p>
    <w:p w14:paraId="223D49AA" w14:textId="665CE9C7" w:rsidR="002D2361" w:rsidRPr="00AB72AE" w:rsidRDefault="009545E7" w:rsidP="00F845BA">
      <w:pPr>
        <w:pStyle w:val="BodyText"/>
        <w:rPr>
          <w:rFonts w:ascii="Arial" w:hAnsi="Arial" w:cs="Arial"/>
          <w:sz w:val="22"/>
          <w:szCs w:val="22"/>
        </w:rPr>
      </w:pPr>
      <w:hyperlink r:id="rId13" w:history="1">
        <w:r w:rsidR="00F845BA" w:rsidRPr="00CA2910">
          <w:rPr>
            <w:rStyle w:val="Hyperlink"/>
            <w:rFonts w:ascii="Arial" w:hAnsi="Arial" w:cs="Arial"/>
            <w:sz w:val="22"/>
            <w:szCs w:val="22"/>
          </w:rPr>
          <w:t>https://www.health.qld.gov.au/clinical-practice/guidelines-procedures/diseases-infection/immunisation/meningococcal-b</w:t>
        </w:r>
      </w:hyperlink>
      <w:r w:rsidR="00FB04DE" w:rsidRPr="00AB72AE">
        <w:rPr>
          <w:rFonts w:ascii="Arial" w:hAnsi="Arial" w:cs="Arial"/>
          <w:sz w:val="22"/>
          <w:szCs w:val="22"/>
        </w:rPr>
        <w:t xml:space="preserve"> </w:t>
      </w:r>
    </w:p>
    <w:p w14:paraId="1CA73BD7" w14:textId="77777777" w:rsidR="00FB04DE" w:rsidRPr="00AB72AE" w:rsidRDefault="00FB04DE" w:rsidP="002D2361">
      <w:pPr>
        <w:pStyle w:val="BodyText"/>
        <w:rPr>
          <w:rFonts w:ascii="Arial" w:hAnsi="Arial" w:cs="Arial"/>
          <w:sz w:val="22"/>
          <w:szCs w:val="22"/>
        </w:rPr>
      </w:pPr>
    </w:p>
    <w:p w14:paraId="243FB9E1" w14:textId="77777777" w:rsidR="002D2361" w:rsidRPr="00AB72AE" w:rsidRDefault="002D2361" w:rsidP="00F845BA">
      <w:pPr>
        <w:jc w:val="both"/>
        <w:rPr>
          <w:rFonts w:ascii="Arial" w:hAnsi="Arial" w:cs="Arial"/>
          <w:sz w:val="22"/>
          <w:szCs w:val="22"/>
        </w:rPr>
      </w:pPr>
      <w:r w:rsidRPr="00AB72AE">
        <w:rPr>
          <w:rFonts w:ascii="Arial" w:hAnsi="Arial" w:cs="Arial"/>
          <w:sz w:val="22"/>
          <w:szCs w:val="22"/>
        </w:rPr>
        <w:t>Thank you for your support of this important public health program.</w:t>
      </w:r>
    </w:p>
    <w:p w14:paraId="3BCAAC47" w14:textId="77777777" w:rsidR="002D2361" w:rsidRPr="00AB72AE" w:rsidRDefault="002D2361" w:rsidP="002D2361">
      <w:pPr>
        <w:jc w:val="both"/>
        <w:rPr>
          <w:rFonts w:ascii="Arial" w:hAnsi="Arial" w:cs="Arial"/>
          <w:sz w:val="22"/>
          <w:szCs w:val="22"/>
        </w:rPr>
      </w:pPr>
    </w:p>
    <w:p w14:paraId="63AED71C" w14:textId="77777777" w:rsidR="00435BA6" w:rsidRPr="00AB72AE" w:rsidRDefault="00435BA6" w:rsidP="00435BA6">
      <w:pPr>
        <w:jc w:val="both"/>
        <w:rPr>
          <w:rFonts w:ascii="Arial" w:hAnsi="Arial" w:cs="Arial"/>
          <w:sz w:val="22"/>
        </w:rPr>
      </w:pPr>
    </w:p>
    <w:p w14:paraId="3F2F6605" w14:textId="05F13D2A" w:rsidR="002D2361" w:rsidRPr="00D60E69" w:rsidRDefault="00435BA6" w:rsidP="006668CD">
      <w:pPr>
        <w:jc w:val="both"/>
        <w:rPr>
          <w:rFonts w:ascii="Arial" w:hAnsi="Arial" w:cs="Arial"/>
          <w:sz w:val="22"/>
        </w:rPr>
      </w:pPr>
      <w:r w:rsidRPr="00AB72AE">
        <w:rPr>
          <w:rFonts w:ascii="Arial" w:hAnsi="Arial" w:cs="Arial"/>
          <w:sz w:val="22"/>
        </w:rPr>
        <w:t>Yours sincerely</w:t>
      </w:r>
    </w:p>
    <w:p w14:paraId="3822D7B0" w14:textId="77777777" w:rsidR="002D2361" w:rsidRPr="00AB72AE" w:rsidRDefault="002D2361" w:rsidP="006668CD">
      <w:pPr>
        <w:jc w:val="both"/>
        <w:rPr>
          <w:rFonts w:ascii="Arial" w:hAnsi="Arial" w:cs="Arial"/>
          <w:sz w:val="22"/>
          <w:szCs w:val="18"/>
        </w:rPr>
      </w:pPr>
    </w:p>
    <w:p w14:paraId="710A46B5" w14:textId="3EF78129" w:rsidR="006668CD" w:rsidRPr="00AB72AE" w:rsidRDefault="0072053D" w:rsidP="006668CD">
      <w:pPr>
        <w:jc w:val="both"/>
        <w:rPr>
          <w:rFonts w:ascii="Arial" w:hAnsi="Arial" w:cs="Arial"/>
          <w:sz w:val="22"/>
        </w:rPr>
      </w:pPr>
      <w:r w:rsidRPr="00AB72AE">
        <w:rPr>
          <w:rFonts w:ascii="Arial" w:hAnsi="Arial" w:cs="Arial"/>
          <w:sz w:val="22"/>
        </w:rPr>
        <w:t xml:space="preserve">Dr </w:t>
      </w:r>
      <w:r w:rsidR="00DB1720" w:rsidRPr="00AB72AE">
        <w:rPr>
          <w:rFonts w:ascii="Arial" w:hAnsi="Arial" w:cs="Arial"/>
          <w:sz w:val="22"/>
        </w:rPr>
        <w:t>John Gerrard</w:t>
      </w:r>
    </w:p>
    <w:p w14:paraId="170B0248" w14:textId="245C759A" w:rsidR="0072053D" w:rsidRPr="00AB72AE" w:rsidRDefault="0072053D" w:rsidP="006668CD">
      <w:pPr>
        <w:jc w:val="both"/>
        <w:rPr>
          <w:rFonts w:ascii="Arial" w:hAnsi="Arial" w:cs="Arial"/>
          <w:b/>
          <w:sz w:val="22"/>
          <w:szCs w:val="22"/>
        </w:rPr>
      </w:pPr>
      <w:r w:rsidRPr="00AB72AE">
        <w:rPr>
          <w:rFonts w:ascii="Arial" w:hAnsi="Arial" w:cs="Arial"/>
          <w:b/>
          <w:sz w:val="22"/>
          <w:szCs w:val="22"/>
        </w:rPr>
        <w:t>Queensland Chief Health Officer</w:t>
      </w:r>
    </w:p>
    <w:p w14:paraId="63AED724" w14:textId="77777777" w:rsidR="008B0006" w:rsidRPr="00AB72AE" w:rsidRDefault="008B0006" w:rsidP="006458CB">
      <w:pPr>
        <w:ind w:right="53"/>
        <w:jc w:val="both"/>
        <w:rPr>
          <w:rFonts w:ascii="Arial" w:hAnsi="Arial" w:cs="Arial"/>
          <w:sz w:val="22"/>
          <w:szCs w:val="22"/>
        </w:rPr>
      </w:pPr>
    </w:p>
    <w:p w14:paraId="38C82B7B" w14:textId="77777777" w:rsidR="002D2361" w:rsidRPr="00AB72AE" w:rsidRDefault="002D2361" w:rsidP="005645F4">
      <w:pPr>
        <w:jc w:val="both"/>
        <w:rPr>
          <w:rFonts w:ascii="Arial" w:hAnsi="Arial" w:cs="Arial"/>
          <w:sz w:val="22"/>
          <w:szCs w:val="22"/>
        </w:rPr>
      </w:pPr>
    </w:p>
    <w:p w14:paraId="63AED727" w14:textId="72798012" w:rsidR="007425B0" w:rsidRPr="00AB72AE" w:rsidRDefault="007425B0" w:rsidP="005645F4">
      <w:pPr>
        <w:jc w:val="both"/>
        <w:rPr>
          <w:rFonts w:ascii="Arial" w:hAnsi="Arial" w:cs="Arial"/>
          <w:sz w:val="22"/>
          <w:szCs w:val="22"/>
        </w:rPr>
        <w:sectPr w:rsidR="007425B0" w:rsidRPr="00AB72AE" w:rsidSect="007E320E">
          <w:headerReference w:type="default" r:id="rId14"/>
          <w:type w:val="continuous"/>
          <w:pgSz w:w="11896" w:h="16834" w:code="9"/>
          <w:pgMar w:top="1134" w:right="1077" w:bottom="374" w:left="1820" w:header="0" w:footer="193" w:gutter="0"/>
          <w:cols w:space="720"/>
          <w:titlePg/>
        </w:sectPr>
      </w:pPr>
      <w:r w:rsidRPr="00AB72AE">
        <w:rPr>
          <w:rFonts w:ascii="Arial" w:hAnsi="Arial" w:cs="Arial"/>
          <w:b/>
          <w:bCs/>
          <w:sz w:val="22"/>
          <w:szCs w:val="22"/>
        </w:rPr>
        <w:t>Attachment</w:t>
      </w:r>
      <w:r w:rsidR="00D16F6B" w:rsidRPr="00AB72AE">
        <w:rPr>
          <w:rFonts w:ascii="Arial" w:hAnsi="Arial" w:cs="Arial"/>
          <w:b/>
          <w:bCs/>
          <w:sz w:val="22"/>
          <w:szCs w:val="22"/>
        </w:rPr>
        <w:t xml:space="preserve"> A:</w:t>
      </w:r>
      <w:r w:rsidR="00D16F6B" w:rsidRPr="00AB72AE">
        <w:rPr>
          <w:rFonts w:ascii="Arial" w:hAnsi="Arial" w:cs="Arial"/>
          <w:sz w:val="22"/>
          <w:szCs w:val="22"/>
        </w:rPr>
        <w:t xml:space="preserve"> Information for parents/legal guardians of </w:t>
      </w:r>
      <w:r w:rsidR="009D5490">
        <w:rPr>
          <w:rFonts w:ascii="Arial" w:hAnsi="Arial" w:cs="Arial"/>
          <w:sz w:val="22"/>
          <w:szCs w:val="22"/>
        </w:rPr>
        <w:t>2024</w:t>
      </w:r>
      <w:r w:rsidR="00D16F6B" w:rsidRPr="00AB72AE">
        <w:rPr>
          <w:rFonts w:ascii="Arial" w:hAnsi="Arial" w:cs="Arial"/>
          <w:sz w:val="22"/>
          <w:szCs w:val="22"/>
        </w:rPr>
        <w:t xml:space="preserve"> </w:t>
      </w:r>
      <w:r w:rsidR="00F845BA">
        <w:rPr>
          <w:rFonts w:ascii="Arial" w:hAnsi="Arial" w:cs="Arial"/>
          <w:sz w:val="22"/>
          <w:szCs w:val="22"/>
        </w:rPr>
        <w:t>Y</w:t>
      </w:r>
      <w:r w:rsidR="00D16F6B" w:rsidRPr="00AB72AE">
        <w:rPr>
          <w:rFonts w:ascii="Arial" w:hAnsi="Arial" w:cs="Arial"/>
          <w:sz w:val="22"/>
          <w:szCs w:val="22"/>
        </w:rPr>
        <w:t xml:space="preserve">ear </w:t>
      </w:r>
      <w:r w:rsidR="00FB04DE" w:rsidRPr="00AB72AE">
        <w:rPr>
          <w:rFonts w:ascii="Arial" w:hAnsi="Arial" w:cs="Arial"/>
          <w:sz w:val="22"/>
          <w:szCs w:val="22"/>
        </w:rPr>
        <w:t>10</w:t>
      </w:r>
      <w:r w:rsidR="00D16F6B" w:rsidRPr="00AB72AE">
        <w:rPr>
          <w:rFonts w:ascii="Arial" w:hAnsi="Arial" w:cs="Arial"/>
          <w:sz w:val="22"/>
          <w:szCs w:val="22"/>
        </w:rPr>
        <w:t xml:space="preserve"> students.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554"/>
      </w:tblGrid>
      <w:tr w:rsidR="00867AEF" w:rsidRPr="00A65824" w14:paraId="16568F7C" w14:textId="77777777" w:rsidTr="00587FB8">
        <w:tc>
          <w:tcPr>
            <w:tcW w:w="2235" w:type="dxa"/>
          </w:tcPr>
          <w:p w14:paraId="7796C918" w14:textId="5CFC6586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6EADA317" w14:textId="7C9E38F7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61BCA6B8" w14:textId="77777777" w:rsidTr="00587FB8">
        <w:tc>
          <w:tcPr>
            <w:tcW w:w="2235" w:type="dxa"/>
          </w:tcPr>
          <w:p w14:paraId="11CB51B4" w14:textId="0D610068" w:rsidR="00867AEF" w:rsidRPr="00593DAF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400A2F12" w14:textId="59CFA104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4789D45E" w14:textId="77777777" w:rsidTr="00587FB8">
        <w:tc>
          <w:tcPr>
            <w:tcW w:w="2235" w:type="dxa"/>
          </w:tcPr>
          <w:p w14:paraId="1D54D13D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59EBD651" w14:textId="5D59431D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480CD2" w14:paraId="3013F7DB" w14:textId="77777777" w:rsidTr="00587FB8">
        <w:tc>
          <w:tcPr>
            <w:tcW w:w="2235" w:type="dxa"/>
          </w:tcPr>
          <w:p w14:paraId="0DA4E60E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0A1A5AA4" w14:textId="44708541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480CD2" w14:paraId="1AE905A2" w14:textId="77777777" w:rsidTr="00587FB8">
        <w:trPr>
          <w:trHeight w:val="268"/>
        </w:trPr>
        <w:tc>
          <w:tcPr>
            <w:tcW w:w="2235" w:type="dxa"/>
          </w:tcPr>
          <w:p w14:paraId="091861D5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076DD09F" w14:textId="2BB4E0A9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480CD2" w14:paraId="731BB84A" w14:textId="77777777" w:rsidTr="00587FB8">
        <w:tc>
          <w:tcPr>
            <w:tcW w:w="2235" w:type="dxa"/>
          </w:tcPr>
          <w:p w14:paraId="7889CF38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59DFA076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52C060C9" w14:textId="77777777" w:rsidTr="00587FB8">
        <w:tc>
          <w:tcPr>
            <w:tcW w:w="2235" w:type="dxa"/>
          </w:tcPr>
          <w:p w14:paraId="0979DE88" w14:textId="1C6DAF53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37910D84" w14:textId="551B8943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480CD2" w14:paraId="1C07A9CA" w14:textId="77777777" w:rsidTr="00587FB8">
        <w:tc>
          <w:tcPr>
            <w:tcW w:w="2235" w:type="dxa"/>
          </w:tcPr>
          <w:p w14:paraId="394DE513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7C59CC83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7053E293" w14:textId="77777777" w:rsidTr="00587FB8">
        <w:tc>
          <w:tcPr>
            <w:tcW w:w="2235" w:type="dxa"/>
          </w:tcPr>
          <w:p w14:paraId="6D0968F2" w14:textId="0FB5430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1D0BFF75" w14:textId="36EBD0C7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393A77FA" w14:textId="77777777" w:rsidTr="00587FB8">
        <w:tc>
          <w:tcPr>
            <w:tcW w:w="2235" w:type="dxa"/>
          </w:tcPr>
          <w:p w14:paraId="5D280EA5" w14:textId="23763AA8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64C6C9D9" w14:textId="37D92A20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46BC74E9" w14:textId="77777777" w:rsidTr="00587FB8">
        <w:tc>
          <w:tcPr>
            <w:tcW w:w="2235" w:type="dxa"/>
          </w:tcPr>
          <w:p w14:paraId="13198C1D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5620E34A" w14:textId="2131EB83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56D5EDE6" w14:textId="77777777" w:rsidTr="00587FB8">
        <w:tc>
          <w:tcPr>
            <w:tcW w:w="2235" w:type="dxa"/>
          </w:tcPr>
          <w:p w14:paraId="46DDDF1E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48C55EE2" w14:textId="1324CAEC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67AEF" w:rsidRPr="00A65824" w14:paraId="15E09480" w14:textId="77777777" w:rsidTr="00587FB8">
        <w:tc>
          <w:tcPr>
            <w:tcW w:w="2235" w:type="dxa"/>
          </w:tcPr>
          <w:p w14:paraId="68147CAD" w14:textId="77777777" w:rsidR="00867AEF" w:rsidRPr="00480CD2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554" w:type="dxa"/>
          </w:tcPr>
          <w:p w14:paraId="74FFD6CE" w14:textId="05897A68" w:rsidR="00867AEF" w:rsidRPr="00A65824" w:rsidRDefault="00867AEF" w:rsidP="00587FB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3AED75E" w14:textId="77777777" w:rsidR="008B0006" w:rsidRPr="00AB72AE" w:rsidRDefault="008B0006" w:rsidP="00882FC8">
      <w:pPr>
        <w:ind w:right="-12"/>
        <w:jc w:val="both"/>
        <w:rPr>
          <w:rFonts w:ascii="Arial" w:hAnsi="Arial" w:cs="Arial"/>
          <w:sz w:val="22"/>
          <w:szCs w:val="22"/>
        </w:rPr>
      </w:pPr>
    </w:p>
    <w:sectPr w:rsidR="008B0006" w:rsidRPr="00AB72AE" w:rsidSect="006458CB">
      <w:headerReference w:type="first" r:id="rId15"/>
      <w:footerReference w:type="first" r:id="rId16"/>
      <w:pgSz w:w="11896" w:h="16834" w:code="9"/>
      <w:pgMar w:top="1134" w:right="1108" w:bottom="1134" w:left="184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49B9" w14:textId="77777777" w:rsidR="00D04099" w:rsidRDefault="00D04099">
      <w:r>
        <w:separator/>
      </w:r>
    </w:p>
  </w:endnote>
  <w:endnote w:type="continuationSeparator" w:id="0">
    <w:p w14:paraId="08D2B758" w14:textId="77777777" w:rsidR="00D04099" w:rsidRDefault="00D0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66" w14:textId="77777777" w:rsidR="009B1761" w:rsidRDefault="009B1761">
    <w:pPr>
      <w:tabs>
        <w:tab w:val="right" w:pos="9639"/>
      </w:tabs>
      <w:rPr>
        <w:sz w:val="12"/>
      </w:rPr>
    </w:pPr>
    <w:r>
      <w:rPr>
        <w:sz w:val="12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435BA6">
      <w:rPr>
        <w:rStyle w:val="PageNumber"/>
        <w:b/>
        <w:noProof/>
        <w:sz w:val="16"/>
      </w:rPr>
      <w:t>2</w:t>
    </w:r>
    <w:r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9" w:type="dxa"/>
      <w:tblInd w:w="672" w:type="dxa"/>
      <w:tblLayout w:type="fixed"/>
      <w:tblLook w:val="0000" w:firstRow="0" w:lastRow="0" w:firstColumn="0" w:lastColumn="0" w:noHBand="0" w:noVBand="0"/>
    </w:tblPr>
    <w:tblGrid>
      <w:gridCol w:w="2394"/>
      <w:gridCol w:w="6745"/>
    </w:tblGrid>
    <w:tr w:rsidR="00946B85" w:rsidRPr="00C61B06" w14:paraId="63AED76E" w14:textId="77777777" w:rsidTr="003E3249">
      <w:tc>
        <w:tcPr>
          <w:tcW w:w="2394" w:type="dxa"/>
        </w:tcPr>
        <w:p w14:paraId="63AED76C" w14:textId="77777777" w:rsidR="00946B85" w:rsidRPr="00C61B06" w:rsidRDefault="00946B85" w:rsidP="006458CB">
          <w:pPr>
            <w:ind w:left="-96"/>
            <w:rPr>
              <w:rFonts w:ascii="Arial" w:hAnsi="Arial"/>
              <w:sz w:val="15"/>
              <w:szCs w:val="15"/>
            </w:rPr>
          </w:pPr>
        </w:p>
      </w:tc>
      <w:tc>
        <w:tcPr>
          <w:tcW w:w="6745" w:type="dxa"/>
        </w:tcPr>
        <w:p w14:paraId="63AED76D" w14:textId="77777777" w:rsidR="00946B85" w:rsidRPr="00C61B06" w:rsidRDefault="00946B85" w:rsidP="006458CB">
          <w:pPr>
            <w:ind w:left="-96"/>
            <w:rPr>
              <w:rFonts w:ascii="Arial" w:hAnsi="Arial"/>
              <w:b/>
              <w:sz w:val="15"/>
              <w:szCs w:val="15"/>
            </w:rPr>
          </w:pPr>
        </w:p>
      </w:tc>
    </w:tr>
  </w:tbl>
  <w:p w14:paraId="63AED76F" w14:textId="77777777" w:rsidR="009B1761" w:rsidRPr="00C61B06" w:rsidRDefault="009B1761" w:rsidP="004723BE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72" w14:textId="77777777" w:rsidR="009B1761" w:rsidRPr="00882FC8" w:rsidRDefault="00882FC8" w:rsidP="00882FC8">
    <w:pPr>
      <w:pStyle w:val="Footer"/>
      <w:rPr>
        <w:rStyle w:val="PageNumber"/>
      </w:rPr>
    </w:pPr>
    <w:r w:rsidRPr="00882FC8">
      <w:rPr>
        <w:rStyle w:val="PageNumber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ED776" wp14:editId="63AED777">
              <wp:simplePos x="0" y="0"/>
              <wp:positionH relativeFrom="column">
                <wp:posOffset>-86009</wp:posOffset>
              </wp:positionH>
              <wp:positionV relativeFrom="paragraph">
                <wp:posOffset>55880</wp:posOffset>
              </wp:positionV>
              <wp:extent cx="2032635" cy="7530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635" cy="75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AED77A" w14:textId="77777777" w:rsidR="00882FC8" w:rsidRPr="00F14E7A" w:rsidRDefault="00882FC8" w:rsidP="00882FC8">
                          <w:pPr>
                            <w:rPr>
                              <w:rFonts w:ascii="Arial" w:hAnsi="Arial" w:cs="Arial"/>
                            </w:rPr>
                          </w:pP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Page 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B0E3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of 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B0E3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3AED7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75pt;margin-top:4.4pt;width:160.05pt;height:59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+tKw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" fillcolor="white [3201]" stroked="f" strokeweight=".5pt">
              <v:textbox>
                <w:txbxContent>
                  <w:p w14:paraId="63AED77A" w14:textId="77777777" w:rsidR="00882FC8" w:rsidRPr="00F14E7A" w:rsidRDefault="00882FC8" w:rsidP="00882FC8">
                    <w:pPr>
                      <w:rPr>
                        <w:rFonts w:ascii="Arial" w:hAnsi="Arial" w:cs="Arial"/>
                      </w:rPr>
                    </w:pP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Page 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B0E3E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of 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B0E3E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82FC8">
      <w:rPr>
        <w:rStyle w:val="PageNumber"/>
        <w:noProof/>
      </w:rPr>
      <w:drawing>
        <wp:anchor distT="0" distB="0" distL="114300" distR="114300" simplePos="0" relativeHeight="251656192" behindDoc="1" locked="0" layoutInCell="1" allowOverlap="1" wp14:anchorId="63AED778" wp14:editId="63AED779">
          <wp:simplePos x="0" y="0"/>
          <wp:positionH relativeFrom="page">
            <wp:posOffset>5467350</wp:posOffset>
          </wp:positionH>
          <wp:positionV relativeFrom="page">
            <wp:posOffset>10188575</wp:posOffset>
          </wp:positionV>
          <wp:extent cx="2094865" cy="264795"/>
          <wp:effectExtent l="0" t="0" r="63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Letterhead_BW.jpg"/>
                  <pic:cNvPicPr/>
                </pic:nvPicPr>
                <pic:blipFill rotWithShape="1">
                  <a:blip r:embed="rId1"/>
                  <a:srcRect t="85880"/>
                  <a:stretch/>
                </pic:blipFill>
                <pic:spPr bwMode="auto">
                  <a:xfrm>
                    <a:off x="0" y="0"/>
                    <a:ext cx="2094865" cy="264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10E" w14:textId="77777777" w:rsidR="00D04099" w:rsidRDefault="00D04099">
      <w:r>
        <w:separator/>
      </w:r>
    </w:p>
  </w:footnote>
  <w:footnote w:type="continuationSeparator" w:id="0">
    <w:p w14:paraId="6BAAF5FA" w14:textId="77777777" w:rsidR="00D04099" w:rsidRDefault="00D0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67" w14:textId="59939AAF" w:rsidR="00762C07" w:rsidRDefault="00360B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ED774" wp14:editId="63AED775">
          <wp:simplePos x="0" y="0"/>
          <wp:positionH relativeFrom="page">
            <wp:posOffset>5426075</wp:posOffset>
          </wp:positionH>
          <wp:positionV relativeFrom="page">
            <wp:posOffset>17780</wp:posOffset>
          </wp:positionV>
          <wp:extent cx="2094865" cy="1878965"/>
          <wp:effectExtent l="0" t="0" r="0" b="0"/>
          <wp:wrapNone/>
          <wp:docPr id="2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70" w14:textId="77777777" w:rsidR="007E320E" w:rsidRDefault="007E3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71" w14:textId="77777777" w:rsidR="009B1761" w:rsidRDefault="009B1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7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A12B3"/>
    <w:multiLevelType w:val="hybridMultilevel"/>
    <w:tmpl w:val="457A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E52"/>
    <w:multiLevelType w:val="hybridMultilevel"/>
    <w:tmpl w:val="07DE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5830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8A"/>
    <w:rsid w:val="00004D70"/>
    <w:rsid w:val="00012980"/>
    <w:rsid w:val="00025BFE"/>
    <w:rsid w:val="00030A26"/>
    <w:rsid w:val="0004205E"/>
    <w:rsid w:val="000637A5"/>
    <w:rsid w:val="00064A23"/>
    <w:rsid w:val="000772AC"/>
    <w:rsid w:val="000D0DBF"/>
    <w:rsid w:val="0014350D"/>
    <w:rsid w:val="00155D0C"/>
    <w:rsid w:val="00160026"/>
    <w:rsid w:val="00163925"/>
    <w:rsid w:val="0017161C"/>
    <w:rsid w:val="00197F0D"/>
    <w:rsid w:val="001A497D"/>
    <w:rsid w:val="001A7A39"/>
    <w:rsid w:val="001B1C88"/>
    <w:rsid w:val="001B353E"/>
    <w:rsid w:val="001B5BC1"/>
    <w:rsid w:val="00205AA7"/>
    <w:rsid w:val="00221667"/>
    <w:rsid w:val="00244F32"/>
    <w:rsid w:val="002615AD"/>
    <w:rsid w:val="00295F32"/>
    <w:rsid w:val="002D21FC"/>
    <w:rsid w:val="002D2361"/>
    <w:rsid w:val="003072D5"/>
    <w:rsid w:val="00316346"/>
    <w:rsid w:val="00347D78"/>
    <w:rsid w:val="00360B95"/>
    <w:rsid w:val="00386CF7"/>
    <w:rsid w:val="00393F7A"/>
    <w:rsid w:val="003A1DD9"/>
    <w:rsid w:val="003B22EB"/>
    <w:rsid w:val="003E0886"/>
    <w:rsid w:val="003E3249"/>
    <w:rsid w:val="003F6C87"/>
    <w:rsid w:val="00401EDD"/>
    <w:rsid w:val="00424901"/>
    <w:rsid w:val="00433E4D"/>
    <w:rsid w:val="00435BA6"/>
    <w:rsid w:val="004471E0"/>
    <w:rsid w:val="004542A4"/>
    <w:rsid w:val="00457B35"/>
    <w:rsid w:val="004723BE"/>
    <w:rsid w:val="00481FE1"/>
    <w:rsid w:val="004A60A1"/>
    <w:rsid w:val="004F68B0"/>
    <w:rsid w:val="00512195"/>
    <w:rsid w:val="00517588"/>
    <w:rsid w:val="005328F5"/>
    <w:rsid w:val="0056188A"/>
    <w:rsid w:val="005636EC"/>
    <w:rsid w:val="005645F4"/>
    <w:rsid w:val="005827DB"/>
    <w:rsid w:val="005A0F28"/>
    <w:rsid w:val="005B0A9D"/>
    <w:rsid w:val="005B0E8A"/>
    <w:rsid w:val="005C2C79"/>
    <w:rsid w:val="005E704F"/>
    <w:rsid w:val="005F3DD6"/>
    <w:rsid w:val="006458CB"/>
    <w:rsid w:val="00651804"/>
    <w:rsid w:val="006543B6"/>
    <w:rsid w:val="006668CD"/>
    <w:rsid w:val="00684C40"/>
    <w:rsid w:val="00696DA7"/>
    <w:rsid w:val="006A3128"/>
    <w:rsid w:val="006B0D9F"/>
    <w:rsid w:val="006B22BD"/>
    <w:rsid w:val="006C1171"/>
    <w:rsid w:val="006C3A6C"/>
    <w:rsid w:val="006D6FAB"/>
    <w:rsid w:val="006D7362"/>
    <w:rsid w:val="006E491F"/>
    <w:rsid w:val="006F00EF"/>
    <w:rsid w:val="0072053D"/>
    <w:rsid w:val="00721568"/>
    <w:rsid w:val="00723D2B"/>
    <w:rsid w:val="00730CB1"/>
    <w:rsid w:val="007425B0"/>
    <w:rsid w:val="00762C07"/>
    <w:rsid w:val="00763A2D"/>
    <w:rsid w:val="007B4887"/>
    <w:rsid w:val="007E320E"/>
    <w:rsid w:val="00804E4F"/>
    <w:rsid w:val="008220B1"/>
    <w:rsid w:val="00867AEF"/>
    <w:rsid w:val="00882FC8"/>
    <w:rsid w:val="0089294F"/>
    <w:rsid w:val="008A3CA2"/>
    <w:rsid w:val="008A7751"/>
    <w:rsid w:val="008B0006"/>
    <w:rsid w:val="008B252A"/>
    <w:rsid w:val="008D574E"/>
    <w:rsid w:val="008E40CF"/>
    <w:rsid w:val="008F0077"/>
    <w:rsid w:val="0090514A"/>
    <w:rsid w:val="00907DC7"/>
    <w:rsid w:val="00910528"/>
    <w:rsid w:val="00916B6A"/>
    <w:rsid w:val="00921ECE"/>
    <w:rsid w:val="00923B61"/>
    <w:rsid w:val="009334EC"/>
    <w:rsid w:val="009358C1"/>
    <w:rsid w:val="00946B85"/>
    <w:rsid w:val="009600A0"/>
    <w:rsid w:val="00960CDE"/>
    <w:rsid w:val="00975975"/>
    <w:rsid w:val="009815C4"/>
    <w:rsid w:val="00995BEC"/>
    <w:rsid w:val="009B1761"/>
    <w:rsid w:val="009B2528"/>
    <w:rsid w:val="009C49BE"/>
    <w:rsid w:val="009D333A"/>
    <w:rsid w:val="009D5490"/>
    <w:rsid w:val="00A00703"/>
    <w:rsid w:val="00A527FA"/>
    <w:rsid w:val="00A62004"/>
    <w:rsid w:val="00A67AD9"/>
    <w:rsid w:val="00A93644"/>
    <w:rsid w:val="00AB5FED"/>
    <w:rsid w:val="00AB662D"/>
    <w:rsid w:val="00AB72AE"/>
    <w:rsid w:val="00AD2DBA"/>
    <w:rsid w:val="00AE3654"/>
    <w:rsid w:val="00B2094D"/>
    <w:rsid w:val="00B251E9"/>
    <w:rsid w:val="00B36331"/>
    <w:rsid w:val="00B419D8"/>
    <w:rsid w:val="00B502B2"/>
    <w:rsid w:val="00B63D8D"/>
    <w:rsid w:val="00B76720"/>
    <w:rsid w:val="00B91A42"/>
    <w:rsid w:val="00BB2CE1"/>
    <w:rsid w:val="00BC6260"/>
    <w:rsid w:val="00C10A8F"/>
    <w:rsid w:val="00C26D22"/>
    <w:rsid w:val="00C327AB"/>
    <w:rsid w:val="00C41F87"/>
    <w:rsid w:val="00C51DB7"/>
    <w:rsid w:val="00C55174"/>
    <w:rsid w:val="00C61B06"/>
    <w:rsid w:val="00CC4580"/>
    <w:rsid w:val="00CF2890"/>
    <w:rsid w:val="00D019B3"/>
    <w:rsid w:val="00D04099"/>
    <w:rsid w:val="00D16F6B"/>
    <w:rsid w:val="00D26AC9"/>
    <w:rsid w:val="00D37890"/>
    <w:rsid w:val="00D60E69"/>
    <w:rsid w:val="00D642A5"/>
    <w:rsid w:val="00D949EB"/>
    <w:rsid w:val="00D97280"/>
    <w:rsid w:val="00DB0E3E"/>
    <w:rsid w:val="00DB1720"/>
    <w:rsid w:val="00DD0E34"/>
    <w:rsid w:val="00E07CAA"/>
    <w:rsid w:val="00E177DA"/>
    <w:rsid w:val="00E3423B"/>
    <w:rsid w:val="00E443E8"/>
    <w:rsid w:val="00E56DEE"/>
    <w:rsid w:val="00E60E6B"/>
    <w:rsid w:val="00E84706"/>
    <w:rsid w:val="00E86289"/>
    <w:rsid w:val="00E86743"/>
    <w:rsid w:val="00E94D23"/>
    <w:rsid w:val="00E95CD3"/>
    <w:rsid w:val="00EA1D05"/>
    <w:rsid w:val="00EB77CE"/>
    <w:rsid w:val="00EC7BF1"/>
    <w:rsid w:val="00EF1AA2"/>
    <w:rsid w:val="00EF2B0F"/>
    <w:rsid w:val="00F21660"/>
    <w:rsid w:val="00F23BDC"/>
    <w:rsid w:val="00F45CCD"/>
    <w:rsid w:val="00F47717"/>
    <w:rsid w:val="00F60746"/>
    <w:rsid w:val="00F73167"/>
    <w:rsid w:val="00F77F62"/>
    <w:rsid w:val="00F845BA"/>
    <w:rsid w:val="00F84DB6"/>
    <w:rsid w:val="00F85C5D"/>
    <w:rsid w:val="00F9271C"/>
    <w:rsid w:val="00FB04DE"/>
    <w:rsid w:val="00FE08E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AED6EF"/>
  <w14:defaultImageDpi w14:val="330"/>
  <w15:docId w15:val="{E53042B4-ADC5-4F80-B286-9B4680F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sid w:val="00386CF7"/>
    <w:rPr>
      <w:color w:val="0000FF"/>
      <w:u w:val="single"/>
    </w:rPr>
  </w:style>
  <w:style w:type="character" w:styleId="FollowedHyperlink">
    <w:name w:val="FollowedHyperlink"/>
    <w:rsid w:val="00386CF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36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ealth.qld.gov.au/clinical-practice/guidelines-procedures/diseases-infection/immunisation/meningococcal-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mmunisation@health.qld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ations.qld.gov.au/dataset/school-based-vaccination-progr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ardJ\Downloads\letter-temp-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2023-11-01T04:43:08+00:00</PPLastReviewedDate>
    <PPPublishedNotificationAddresses xmlns="f114f5df-7614-43c1-ba8e-2daa6e537108" xsi:nil="true"/>
    <PPModeratedDate xmlns="f114f5df-7614-43c1-ba8e-2daa6e537108">2023-11-01T04:43:08+00:00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D3FBFE3-5B47-48A2-98B1-265597335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0145E-9680-4A5F-B303-00FA8F0A6A7D}"/>
</file>

<file path=customXml/itemProps3.xml><?xml version="1.0" encoding="utf-8"?>
<ds:datastoreItem xmlns:ds="http://schemas.openxmlformats.org/officeDocument/2006/customXml" ds:itemID="{06D252E8-91B0-47D1-A60E-021F3390B165}"/>
</file>

<file path=customXml/itemProps4.xml><?xml version="1.0" encoding="utf-8"?>
<ds:datastoreItem xmlns:ds="http://schemas.openxmlformats.org/officeDocument/2006/customXml" ds:itemID="{DC7E46AB-8DF0-45A2-A2D2-898430E5B36B}"/>
</file>

<file path=docProps/app.xml><?xml version="1.0" encoding="utf-8"?>
<Properties xmlns="http://schemas.openxmlformats.org/officeDocument/2006/extended-properties" xmlns:vt="http://schemas.openxmlformats.org/officeDocument/2006/docPropsVTypes">
  <Template>letter-temp-d.dotx</Template>
  <TotalTime>1</TotalTime>
  <Pages>3</Pages>
  <Words>511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 Standard Letter Template</vt:lpstr>
    </vt:vector>
  </TitlesOfParts>
  <Company>Queensland Health</Company>
  <LinksUpToDate>false</LinksUpToDate>
  <CharactersWithSpaces>3977</CharactersWithSpaces>
  <SharedDoc>false</SharedDoc>
  <HLinks>
    <vt:vector size="6" baseType="variant"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https://www.qld.gov.au/about/how-government-works/government-structure/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Principals Queensland MenB Vaccination Program</dc:title>
  <dc:subject>Letter to Principals Queensland MenB Vaccination Program;</dc:subject>
  <dc:creator>Queensland Government</dc:creator>
  <cp:keywords>Queensland MenB Vaccination Program</cp:keywords>
  <dc:description>V2005</dc:description>
  <cp:revision>2</cp:revision>
  <cp:lastPrinted>2019-02-14T02:37:00Z</cp:lastPrinted>
  <dcterms:created xsi:type="dcterms:W3CDTF">2023-10-24T22:02:00Z</dcterms:created>
  <dcterms:modified xsi:type="dcterms:W3CDTF">2023-10-24T22:02:00Z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