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1DF3" w14:textId="408F7425" w:rsidR="008552DB" w:rsidRDefault="008552DB" w:rsidP="008552DB">
      <w:pPr>
        <w:spacing w:before="720" w:after="240"/>
        <w:ind w:left="-1134" w:right="-1049"/>
        <w:rPr>
          <w:rFonts w:cs="Arial"/>
          <w:sz w:val="48"/>
          <w:szCs w:val="48"/>
        </w:rPr>
      </w:pPr>
      <w:bookmarkStart w:id="0" w:name="_GoBack"/>
      <w:bookmarkEnd w:id="0"/>
      <w:r w:rsidRPr="00D4128F">
        <w:rPr>
          <w:rFonts w:cs="Arial"/>
          <w:sz w:val="48"/>
          <w:szCs w:val="48"/>
        </w:rPr>
        <w:t>Training</w:t>
      </w:r>
      <w:r w:rsidR="00134068">
        <w:rPr>
          <w:rFonts w:cs="Arial"/>
          <w:sz w:val="48"/>
          <w:szCs w:val="48"/>
        </w:rPr>
        <w:t xml:space="preserve"> h</w:t>
      </w:r>
      <w:r w:rsidRPr="00D4128F">
        <w:rPr>
          <w:rFonts w:cs="Arial"/>
          <w:sz w:val="48"/>
          <w:szCs w:val="48"/>
        </w:rPr>
        <w:t>andout</w:t>
      </w:r>
    </w:p>
    <w:p w14:paraId="3A69B178" w14:textId="77777777" w:rsidR="008552DB" w:rsidRPr="00A16ABB" w:rsidRDefault="008552DB" w:rsidP="008552DB">
      <w:pPr>
        <w:spacing w:before="120" w:line="276" w:lineRule="auto"/>
        <w:ind w:left="-992"/>
        <w:rPr>
          <w:rFonts w:cs="Arial"/>
          <w:sz w:val="36"/>
          <w:szCs w:val="36"/>
        </w:rPr>
      </w:pPr>
      <w:r w:rsidRPr="00A16ABB">
        <w:rPr>
          <w:rFonts w:cs="Arial"/>
          <w:sz w:val="36"/>
          <w:szCs w:val="36"/>
        </w:rPr>
        <w:t>Asbestos Management Team (AMT) Action Plan</w:t>
      </w:r>
    </w:p>
    <w:p w14:paraId="03CA194C" w14:textId="27CEB24D" w:rsidR="008552DB" w:rsidRPr="00A16ABB" w:rsidRDefault="008552DB" w:rsidP="00134068">
      <w:pPr>
        <w:spacing w:line="276" w:lineRule="auto"/>
        <w:ind w:left="-1134" w:right="-93"/>
        <w:rPr>
          <w:rFonts w:cs="Arial"/>
          <w:sz w:val="20"/>
        </w:rPr>
      </w:pPr>
      <w:r w:rsidRPr="00A16ABB">
        <w:rPr>
          <w:rFonts w:cs="Arial"/>
          <w:sz w:val="20"/>
        </w:rPr>
        <w:t>This checklist is designed to hel</w:t>
      </w:r>
      <w:r w:rsidR="0034041E">
        <w:rPr>
          <w:rFonts w:cs="Arial"/>
          <w:sz w:val="20"/>
        </w:rPr>
        <w:t xml:space="preserve">p you make sure that procedures </w:t>
      </w:r>
      <w:r w:rsidRPr="00A16ABB">
        <w:rPr>
          <w:rFonts w:cs="Arial"/>
          <w:sz w:val="20"/>
        </w:rPr>
        <w:t xml:space="preserve">identified in </w:t>
      </w:r>
      <w:r w:rsidR="0034041E">
        <w:rPr>
          <w:rFonts w:cs="Arial"/>
          <w:sz w:val="20"/>
        </w:rPr>
        <w:t>the Department of Education’s Asbestos management p</w:t>
      </w:r>
      <w:r w:rsidRPr="00A16ABB">
        <w:rPr>
          <w:rFonts w:cs="Arial"/>
          <w:sz w:val="20"/>
        </w:rPr>
        <w:t>lan (AMP) have b</w:t>
      </w:r>
      <w:r>
        <w:rPr>
          <w:rFonts w:cs="Arial"/>
          <w:sz w:val="20"/>
        </w:rPr>
        <w:t>een implemented at your school or workplace</w:t>
      </w:r>
      <w:r w:rsidRPr="00A16ABB">
        <w:rPr>
          <w:rFonts w:cs="Arial"/>
          <w:sz w:val="20"/>
        </w:rPr>
        <w:t>.</w:t>
      </w: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8552DB" w:rsidRPr="00BC42D1" w14:paraId="5725671B" w14:textId="77777777" w:rsidTr="009D0A55">
        <w:tc>
          <w:tcPr>
            <w:tcW w:w="9923" w:type="dxa"/>
            <w:shd w:val="clear" w:color="auto" w:fill="D9D9D9" w:themeFill="background1" w:themeFillShade="D9"/>
          </w:tcPr>
          <w:p w14:paraId="7B391DC5" w14:textId="0F16DF52" w:rsidR="008552DB" w:rsidRPr="00BC42D1" w:rsidRDefault="008552DB" w:rsidP="009D0A55">
            <w:pPr>
              <w:spacing w:before="120" w:line="276" w:lineRule="auto"/>
              <w:ind w:left="-1134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During the N</w:t>
            </w:r>
            <w:r w:rsidR="0034041E">
              <w:rPr>
                <w:rFonts w:cs="Arial"/>
                <w:b/>
                <w:sz w:val="20"/>
              </w:rPr>
              <w:t>ext 2–</w:t>
            </w:r>
            <w:r w:rsidRPr="00BC42D1">
              <w:rPr>
                <w:rFonts w:cs="Arial"/>
                <w:b/>
                <w:sz w:val="20"/>
              </w:rPr>
              <w:t xml:space="preserve">4 weeks </w:t>
            </w:r>
            <w:r w:rsidRPr="00301BC1">
              <w:rPr>
                <w:rFonts w:cs="Arial"/>
                <w:sz w:val="20"/>
              </w:rPr>
              <w:t>(please read and check off the items below when completed)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38125D" w14:textId="77777777" w:rsidR="008552DB" w:rsidRPr="00BC42D1" w:rsidRDefault="008552DB" w:rsidP="009D0A55">
            <w:pPr>
              <w:spacing w:before="120" w:line="276" w:lineRule="auto"/>
              <w:ind w:left="-1134"/>
              <w:rPr>
                <w:rFonts w:cs="Arial"/>
                <w:b/>
                <w:sz w:val="20"/>
              </w:rPr>
            </w:pPr>
            <w:r w:rsidRPr="00BC42D1">
              <w:rPr>
                <w:rFonts w:cs="Arial"/>
                <w:b/>
                <w:sz w:val="20"/>
              </w:rPr>
              <w:t>Checked</w:t>
            </w:r>
            <w:r>
              <w:rPr>
                <w:rFonts w:cs="Arial"/>
                <w:b/>
                <w:sz w:val="20"/>
              </w:rPr>
              <w:sym w:font="Wingdings" w:char="F0FC"/>
            </w:r>
          </w:p>
        </w:tc>
      </w:tr>
      <w:tr w:rsidR="008552DB" w:rsidRPr="00BC42D1" w14:paraId="799E5271" w14:textId="77777777" w:rsidTr="009D0A55">
        <w:tc>
          <w:tcPr>
            <w:tcW w:w="9923" w:type="dxa"/>
          </w:tcPr>
          <w:p w14:paraId="50F1512C" w14:textId="35B46246" w:rsidR="008552DB" w:rsidRPr="00AC6FFD" w:rsidRDefault="00301BC1" w:rsidP="00301BC1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363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  <w:r w:rsidR="00217743">
              <w:rPr>
                <w:sz w:val="20"/>
                <w:szCs w:val="20"/>
              </w:rPr>
              <w:t xml:space="preserve"> the Asbestos m</w:t>
            </w:r>
            <w:r w:rsidR="008552DB" w:rsidRPr="00AC6FFD">
              <w:rPr>
                <w:sz w:val="20"/>
                <w:szCs w:val="20"/>
              </w:rPr>
              <w:t xml:space="preserve">anagement website via the OnePortal ‘Quick links’ to locate the department’s </w:t>
            </w:r>
            <w:r w:rsidR="008552DB" w:rsidRPr="00AC6FFD">
              <w:rPr>
                <w:b/>
                <w:sz w:val="20"/>
                <w:szCs w:val="20"/>
              </w:rPr>
              <w:t>policy, Asbestos Management Plan (AMP) and staff training information</w:t>
            </w:r>
            <w:r w:rsidR="008552DB" w:rsidRPr="00AC6F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14:paraId="54C3E112" w14:textId="77777777" w:rsidR="008552DB" w:rsidRPr="00BC42D1" w:rsidRDefault="008552DB" w:rsidP="009D0A55">
            <w:pPr>
              <w:spacing w:before="120" w:line="276" w:lineRule="auto"/>
              <w:ind w:left="-1134"/>
              <w:rPr>
                <w:rFonts w:cs="Arial"/>
                <w:sz w:val="20"/>
              </w:rPr>
            </w:pPr>
          </w:p>
        </w:tc>
      </w:tr>
      <w:tr w:rsidR="008552DB" w:rsidRPr="00BC42D1" w14:paraId="75A03AE6" w14:textId="77777777" w:rsidTr="009D0A55">
        <w:tc>
          <w:tcPr>
            <w:tcW w:w="9923" w:type="dxa"/>
          </w:tcPr>
          <w:p w14:paraId="49CDB043" w14:textId="22B44C76" w:rsidR="008552DB" w:rsidRPr="00AC6FFD" w:rsidRDefault="00301BC1" w:rsidP="00301BC1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363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</w:t>
            </w:r>
            <w:r w:rsidR="008552DB" w:rsidRPr="00AC6FFD">
              <w:rPr>
                <w:sz w:val="20"/>
                <w:szCs w:val="20"/>
              </w:rPr>
              <w:t xml:space="preserve"> the OnePortal BEMIR page via the OnePortal ‘Quick links’ to locate the </w:t>
            </w:r>
            <w:r w:rsidR="008552DB" w:rsidRPr="00AC6FFD">
              <w:rPr>
                <w:b/>
                <w:sz w:val="20"/>
                <w:szCs w:val="20"/>
              </w:rPr>
              <w:t>BEMIR Quick Reference Guides</w:t>
            </w:r>
            <w:r w:rsidR="008552DB" w:rsidRPr="00AC6FF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14:paraId="72EFD3E0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234B606E" w14:textId="77777777" w:rsidTr="009D0A55">
        <w:tc>
          <w:tcPr>
            <w:tcW w:w="9923" w:type="dxa"/>
          </w:tcPr>
          <w:p w14:paraId="1F007395" w14:textId="399F07CE" w:rsidR="008552DB" w:rsidRPr="00CA0A51" w:rsidRDefault="008552DB" w:rsidP="00301BC1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363" w:hanging="357"/>
              <w:rPr>
                <w:sz w:val="20"/>
              </w:rPr>
            </w:pPr>
            <w:r>
              <w:rPr>
                <w:sz w:val="20"/>
              </w:rPr>
              <w:t xml:space="preserve">Identify your </w:t>
            </w:r>
            <w:r w:rsidRPr="00446862">
              <w:rPr>
                <w:b/>
                <w:sz w:val="20"/>
              </w:rPr>
              <w:t>Asbestos Management Team</w:t>
            </w:r>
            <w:r>
              <w:rPr>
                <w:b/>
                <w:sz w:val="20"/>
              </w:rPr>
              <w:t xml:space="preserve"> (AMT) </w:t>
            </w:r>
            <w:r w:rsidRPr="00446862">
              <w:rPr>
                <w:b/>
                <w:sz w:val="20"/>
              </w:rPr>
              <w:t>members</w:t>
            </w:r>
            <w:r w:rsidR="0034041E">
              <w:rPr>
                <w:sz w:val="20"/>
              </w:rPr>
              <w:t xml:space="preserve">. Make </w:t>
            </w:r>
            <w:r>
              <w:rPr>
                <w:sz w:val="20"/>
              </w:rPr>
              <w:t xml:space="preserve">sure that they have received AMT </w:t>
            </w:r>
            <w:r w:rsidR="0034041E">
              <w:rPr>
                <w:sz w:val="20"/>
              </w:rPr>
              <w:t>t</w:t>
            </w:r>
            <w:r>
              <w:rPr>
                <w:sz w:val="20"/>
              </w:rPr>
              <w:t xml:space="preserve">raining and that they are aware of their role and responsibilities </w:t>
            </w:r>
            <w:r w:rsidRPr="00217743">
              <w:rPr>
                <w:sz w:val="20"/>
              </w:rPr>
              <w:t xml:space="preserve">(for role </w:t>
            </w:r>
            <w:r w:rsidR="0034041E">
              <w:rPr>
                <w:sz w:val="20"/>
              </w:rPr>
              <w:t>information see the AMP section </w:t>
            </w:r>
            <w:r w:rsidRPr="00217743">
              <w:rPr>
                <w:sz w:val="20"/>
              </w:rPr>
              <w:t>5)</w:t>
            </w:r>
            <w:r>
              <w:rPr>
                <w:sz w:val="20"/>
              </w:rPr>
              <w:t>. If staff require AMT training, then contact your Infrastructure Manager.</w:t>
            </w:r>
          </w:p>
        </w:tc>
        <w:tc>
          <w:tcPr>
            <w:tcW w:w="709" w:type="dxa"/>
          </w:tcPr>
          <w:p w14:paraId="6F5ECF80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74819602" w14:textId="77777777" w:rsidTr="009D0A55">
        <w:tc>
          <w:tcPr>
            <w:tcW w:w="9923" w:type="dxa"/>
          </w:tcPr>
          <w:p w14:paraId="1DBF2A6A" w14:textId="0CD0A1B2" w:rsidR="008552DB" w:rsidRDefault="0034041E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hanging="357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Make </w:t>
            </w:r>
            <w:r w:rsidR="008552DB">
              <w:rPr>
                <w:sz w:val="20"/>
              </w:rPr>
              <w:t>sure the following posters have been printed and are displayed in every staffroom:</w:t>
            </w:r>
          </w:p>
          <w:p w14:paraId="49CADECD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 w:rsidRPr="00446862">
              <w:rPr>
                <w:b/>
                <w:sz w:val="20"/>
              </w:rPr>
              <w:t xml:space="preserve">‘Poster – asbestos management, your team’ </w:t>
            </w:r>
            <w:r>
              <w:rPr>
                <w:sz w:val="20"/>
              </w:rPr>
              <w:t>(identifying your current AMT members)</w:t>
            </w:r>
          </w:p>
          <w:p w14:paraId="06D24474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 w:rsidRPr="00446862">
              <w:rPr>
                <w:b/>
                <w:sz w:val="20"/>
              </w:rPr>
              <w:t>‘Post</w:t>
            </w:r>
            <w:r>
              <w:rPr>
                <w:b/>
                <w:sz w:val="20"/>
              </w:rPr>
              <w:t>er – asbestos management, your role</w:t>
            </w:r>
            <w:r w:rsidRPr="00446862">
              <w:rPr>
                <w:b/>
                <w:sz w:val="20"/>
              </w:rPr>
              <w:t xml:space="preserve">’ </w:t>
            </w: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staff roles/responsibilities) </w:t>
            </w:r>
          </w:p>
          <w:p w14:paraId="4B98D1C8" w14:textId="5FA77DFC" w:rsidR="008552DB" w:rsidRPr="00BD3AD1" w:rsidRDefault="008552DB" w:rsidP="0034041E">
            <w:pPr>
              <w:spacing w:before="120" w:line="276" w:lineRule="auto"/>
              <w:ind w:left="720"/>
              <w:rPr>
                <w:rFonts w:cs="Arial"/>
                <w:sz w:val="20"/>
              </w:rPr>
            </w:pPr>
            <w:r w:rsidRPr="00BD3AD1">
              <w:rPr>
                <w:rFonts w:cs="Arial"/>
                <w:sz w:val="20"/>
              </w:rPr>
              <w:t>The posters ar</w:t>
            </w:r>
            <w:r w:rsidR="0034041E">
              <w:rPr>
                <w:rFonts w:cs="Arial"/>
                <w:sz w:val="20"/>
              </w:rPr>
              <w:t>e available from the ‘Asbestos management k</w:t>
            </w:r>
            <w:r w:rsidRPr="00BD3AD1">
              <w:rPr>
                <w:rFonts w:cs="Arial"/>
                <w:sz w:val="20"/>
              </w:rPr>
              <w:t xml:space="preserve">it’ located </w:t>
            </w:r>
            <w:r w:rsidR="0034041E">
              <w:rPr>
                <w:rFonts w:cs="Arial"/>
                <w:sz w:val="20"/>
              </w:rPr>
              <w:t xml:space="preserve">at the right </w:t>
            </w:r>
            <w:r w:rsidRPr="00BD3AD1">
              <w:rPr>
                <w:rFonts w:cs="Arial"/>
                <w:sz w:val="20"/>
              </w:rPr>
              <w:t>on the ‘</w:t>
            </w:r>
            <w:r w:rsidR="0034041E">
              <w:rPr>
                <w:rFonts w:cs="Arial"/>
                <w:sz w:val="20"/>
              </w:rPr>
              <w:t>P</w:t>
            </w:r>
            <w:r w:rsidRPr="00BD3AD1">
              <w:rPr>
                <w:rFonts w:cs="Arial"/>
                <w:sz w:val="20"/>
              </w:rPr>
              <w:t>olicy</w:t>
            </w:r>
            <w:r w:rsidR="0034041E">
              <w:rPr>
                <w:rFonts w:cs="Arial"/>
                <w:sz w:val="20"/>
              </w:rPr>
              <w:t xml:space="preserve"> and procedures</w:t>
            </w:r>
            <w:r w:rsidRPr="00BD3AD1">
              <w:rPr>
                <w:rFonts w:cs="Arial"/>
                <w:sz w:val="20"/>
              </w:rPr>
              <w:t xml:space="preserve">’ page on </w:t>
            </w:r>
            <w:r w:rsidRPr="00AC6FFD">
              <w:rPr>
                <w:rFonts w:cs="Arial"/>
                <w:sz w:val="18"/>
              </w:rPr>
              <w:t xml:space="preserve">the </w:t>
            </w:r>
            <w:r w:rsidRPr="00AC6FFD">
              <w:rPr>
                <w:rFonts w:cs="Arial"/>
                <w:sz w:val="20"/>
              </w:rPr>
              <w:t xml:space="preserve">Asbestos </w:t>
            </w:r>
            <w:r w:rsidR="0034041E">
              <w:rPr>
                <w:rFonts w:cs="Arial"/>
                <w:sz w:val="20"/>
              </w:rPr>
              <w:t>m</w:t>
            </w:r>
            <w:r w:rsidRPr="00AC6FFD">
              <w:rPr>
                <w:rFonts w:cs="Arial"/>
                <w:sz w:val="20"/>
              </w:rPr>
              <w:t>anagement website</w:t>
            </w:r>
            <w:r w:rsidRPr="00AC6FFD">
              <w:rPr>
                <w:rFonts w:cs="Arial"/>
                <w:sz w:val="18"/>
              </w:rPr>
              <w:t>.</w:t>
            </w:r>
          </w:p>
        </w:tc>
        <w:tc>
          <w:tcPr>
            <w:tcW w:w="709" w:type="dxa"/>
          </w:tcPr>
          <w:p w14:paraId="40B4D5F9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08D000F4" w14:textId="77777777" w:rsidTr="009D0A55">
        <w:tc>
          <w:tcPr>
            <w:tcW w:w="9923" w:type="dxa"/>
          </w:tcPr>
          <w:p w14:paraId="2A64C1CA" w14:textId="7DC4D7C0" w:rsidR="008552DB" w:rsidRPr="000055CF" w:rsidRDefault="0034041E" w:rsidP="00301BC1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363" w:hanging="357"/>
              <w:rPr>
                <w:sz w:val="20"/>
              </w:rPr>
            </w:pPr>
            <w:r>
              <w:rPr>
                <w:sz w:val="20"/>
              </w:rPr>
              <w:t xml:space="preserve">Make </w:t>
            </w:r>
            <w:r w:rsidR="008552DB">
              <w:rPr>
                <w:sz w:val="20"/>
              </w:rPr>
              <w:t xml:space="preserve">sure the </w:t>
            </w:r>
            <w:r w:rsidR="008552DB">
              <w:rPr>
                <w:b/>
                <w:sz w:val="20"/>
              </w:rPr>
              <w:t xml:space="preserve">Asbestos warning sign </w:t>
            </w:r>
            <w:r w:rsidR="008552DB">
              <w:rPr>
                <w:sz w:val="20"/>
              </w:rPr>
              <w:t xml:space="preserve">is displayed as per the department’s requirements. Locate the ‘Quick </w:t>
            </w:r>
            <w:r w:rsidR="00301BC1">
              <w:rPr>
                <w:sz w:val="20"/>
              </w:rPr>
              <w:t xml:space="preserve">reference guide – asbestos </w:t>
            </w:r>
            <w:r w:rsidR="008552DB">
              <w:rPr>
                <w:sz w:val="20"/>
              </w:rPr>
              <w:t xml:space="preserve">warning signage’ and the ‘Asbestos </w:t>
            </w:r>
            <w:r w:rsidR="00301BC1">
              <w:rPr>
                <w:sz w:val="20"/>
              </w:rPr>
              <w:t xml:space="preserve">warning sign’ </w:t>
            </w:r>
            <w:r w:rsidR="008552DB">
              <w:rPr>
                <w:sz w:val="20"/>
              </w:rPr>
              <w:t>available from the ‘</w:t>
            </w:r>
            <w:r w:rsidR="00301BC1">
              <w:rPr>
                <w:sz w:val="20"/>
              </w:rPr>
              <w:t>P</w:t>
            </w:r>
            <w:r w:rsidR="008552DB">
              <w:rPr>
                <w:sz w:val="20"/>
              </w:rPr>
              <w:t>olicy</w:t>
            </w:r>
            <w:r w:rsidR="00301BC1">
              <w:rPr>
                <w:sz w:val="20"/>
              </w:rPr>
              <w:t xml:space="preserve"> and procedures</w:t>
            </w:r>
            <w:r w:rsidR="008552DB">
              <w:rPr>
                <w:sz w:val="20"/>
              </w:rPr>
              <w:t xml:space="preserve">’ page on the </w:t>
            </w:r>
            <w:r w:rsidR="00217743">
              <w:rPr>
                <w:rFonts w:cs="Arial"/>
                <w:sz w:val="20"/>
              </w:rPr>
              <w:t>Asbestos m</w:t>
            </w:r>
            <w:r w:rsidR="008552DB" w:rsidRPr="00AC6FFD">
              <w:rPr>
                <w:rFonts w:cs="Arial"/>
                <w:sz w:val="20"/>
              </w:rPr>
              <w:t>anagement website</w:t>
            </w:r>
            <w:r w:rsidR="008552DB"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766B2DFC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035B9021" w14:textId="77777777" w:rsidTr="009D0A55">
        <w:tc>
          <w:tcPr>
            <w:tcW w:w="9923" w:type="dxa"/>
          </w:tcPr>
          <w:p w14:paraId="2EC15367" w14:textId="07F96088" w:rsidR="008552DB" w:rsidRPr="00446862" w:rsidRDefault="00301BC1" w:rsidP="00301BC1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363" w:hanging="357"/>
              <w:rPr>
                <w:sz w:val="20"/>
              </w:rPr>
            </w:pPr>
            <w:r>
              <w:rPr>
                <w:sz w:val="20"/>
              </w:rPr>
              <w:t>Communicate</w:t>
            </w:r>
            <w:r w:rsidR="008552DB">
              <w:rPr>
                <w:sz w:val="20"/>
              </w:rPr>
              <w:t xml:space="preserve"> to staff and P&amp;C the </w:t>
            </w:r>
            <w:r w:rsidR="008552DB" w:rsidRPr="00446862">
              <w:rPr>
                <w:b/>
                <w:sz w:val="20"/>
              </w:rPr>
              <w:t>process for</w:t>
            </w:r>
            <w:r w:rsidR="008552DB">
              <w:rPr>
                <w:sz w:val="20"/>
              </w:rPr>
              <w:t xml:space="preserve"> </w:t>
            </w:r>
            <w:r w:rsidR="008552DB" w:rsidRPr="00446862">
              <w:rPr>
                <w:b/>
                <w:sz w:val="20"/>
              </w:rPr>
              <w:t>reporting concerns or damage to buildings</w:t>
            </w:r>
            <w:r w:rsidR="008552DB">
              <w:rPr>
                <w:sz w:val="20"/>
              </w:rPr>
              <w:t xml:space="preserve"> to a member of the Asbestos Management Team (AMT).</w:t>
            </w:r>
          </w:p>
        </w:tc>
        <w:tc>
          <w:tcPr>
            <w:tcW w:w="709" w:type="dxa"/>
          </w:tcPr>
          <w:p w14:paraId="49A96A30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1E4BADE6" w14:textId="77777777" w:rsidTr="009D0A55">
        <w:tc>
          <w:tcPr>
            <w:tcW w:w="9923" w:type="dxa"/>
          </w:tcPr>
          <w:p w14:paraId="6AB4E98C" w14:textId="439D726F" w:rsidR="008552DB" w:rsidRDefault="00301BC1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hanging="357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Make </w:t>
            </w:r>
            <w:r w:rsidR="008552DB">
              <w:rPr>
                <w:sz w:val="20"/>
              </w:rPr>
              <w:t xml:space="preserve">sure that </w:t>
            </w:r>
            <w:r w:rsidR="008552DB" w:rsidRPr="00E815DC">
              <w:rPr>
                <w:b/>
                <w:sz w:val="20"/>
              </w:rPr>
              <w:t>BEMR</w:t>
            </w:r>
            <w:r>
              <w:rPr>
                <w:sz w:val="20"/>
              </w:rPr>
              <w:t xml:space="preserve"> is managed and u</w:t>
            </w:r>
            <w:r w:rsidR="008552DB">
              <w:rPr>
                <w:sz w:val="20"/>
              </w:rPr>
              <w:t>sed effectively at the location including:</w:t>
            </w:r>
          </w:p>
          <w:p w14:paraId="39709C77" w14:textId="2C8A5FB3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ind w:hanging="357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Adequate number of trained staff with access to BEMIR. See the </w:t>
            </w:r>
            <w:r w:rsidR="00301BC1">
              <w:rPr>
                <w:sz w:val="20"/>
              </w:rPr>
              <w:t>‘User a</w:t>
            </w:r>
            <w:r>
              <w:rPr>
                <w:sz w:val="20"/>
              </w:rPr>
              <w:t>ccount</w:t>
            </w:r>
            <w:r w:rsidR="00301BC1">
              <w:rPr>
                <w:sz w:val="20"/>
              </w:rPr>
              <w:t>s’</w:t>
            </w:r>
            <w:r>
              <w:rPr>
                <w:sz w:val="20"/>
              </w:rPr>
              <w:t xml:space="preserve"> information on the OnePortal BEMIR page to create/update/delete user accounts.</w:t>
            </w:r>
          </w:p>
          <w:p w14:paraId="302F5DB1" w14:textId="2C18A8D4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ind w:hanging="357"/>
              <w:contextualSpacing/>
              <w:rPr>
                <w:sz w:val="20"/>
              </w:rPr>
            </w:pPr>
            <w:r>
              <w:rPr>
                <w:sz w:val="20"/>
              </w:rPr>
              <w:t>Check that your Facilit</w:t>
            </w:r>
            <w:r w:rsidR="00301BC1">
              <w:rPr>
                <w:sz w:val="20"/>
              </w:rPr>
              <w:t>y c</w:t>
            </w:r>
            <w:r>
              <w:rPr>
                <w:sz w:val="20"/>
              </w:rPr>
              <w:t>ontacts information in BEMIR is current.</w:t>
            </w:r>
          </w:p>
          <w:p w14:paraId="242A2EB0" w14:textId="09F8D40B" w:rsidR="008552DB" w:rsidRDefault="00301BC1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ind w:hanging="357"/>
              <w:contextualSpacing/>
              <w:rPr>
                <w:sz w:val="20"/>
              </w:rPr>
            </w:pPr>
            <w:r>
              <w:rPr>
                <w:sz w:val="20"/>
              </w:rPr>
              <w:t>Implement</w:t>
            </w:r>
            <w:r w:rsidR="008552DB">
              <w:rPr>
                <w:sz w:val="20"/>
              </w:rPr>
              <w:t xml:space="preserve"> a process to create, update and close </w:t>
            </w:r>
            <w:r w:rsidR="008552DB" w:rsidRPr="008575B0">
              <w:rPr>
                <w:b/>
                <w:sz w:val="20"/>
              </w:rPr>
              <w:t>Work Area Access Permits (WAAPs)</w:t>
            </w:r>
            <w:r w:rsidR="008552DB">
              <w:rPr>
                <w:sz w:val="20"/>
              </w:rPr>
              <w:t xml:space="preserve"> in BEMIR.</w:t>
            </w:r>
          </w:p>
          <w:p w14:paraId="014DD22F" w14:textId="44ED0003" w:rsidR="008552DB" w:rsidRDefault="00301BC1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ind w:hanging="357"/>
              <w:contextualSpacing/>
              <w:rPr>
                <w:sz w:val="20"/>
              </w:rPr>
            </w:pPr>
            <w:r>
              <w:rPr>
                <w:sz w:val="20"/>
              </w:rPr>
              <w:t>Implement</w:t>
            </w:r>
            <w:r w:rsidR="008552DB">
              <w:rPr>
                <w:sz w:val="20"/>
              </w:rPr>
              <w:t xml:space="preserve"> a process to create, update and close </w:t>
            </w:r>
            <w:r w:rsidR="008552DB" w:rsidRPr="008575B0">
              <w:rPr>
                <w:b/>
                <w:sz w:val="20"/>
              </w:rPr>
              <w:t>Incident Management Reports</w:t>
            </w:r>
            <w:r w:rsidR="008552DB">
              <w:rPr>
                <w:sz w:val="20"/>
              </w:rPr>
              <w:t xml:space="preserve"> (IMRs) in BEMIR. </w:t>
            </w:r>
          </w:p>
          <w:p w14:paraId="21850A0D" w14:textId="2DB68B14" w:rsidR="008552DB" w:rsidRPr="00712C4E" w:rsidRDefault="00301BC1" w:rsidP="00301BC1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ind w:left="1083" w:hanging="357"/>
              <w:rPr>
                <w:sz w:val="20"/>
              </w:rPr>
            </w:pPr>
            <w:r>
              <w:rPr>
                <w:sz w:val="20"/>
              </w:rPr>
              <w:t>Implement r</w:t>
            </w:r>
            <w:r w:rsidR="008552DB">
              <w:rPr>
                <w:sz w:val="20"/>
              </w:rPr>
              <w:t>isk management strategy with hard copies of the following documents available</w:t>
            </w:r>
            <w:r>
              <w:rPr>
                <w:sz w:val="20"/>
              </w:rPr>
              <w:t>: Asbestos Register, blank WAAP</w:t>
            </w:r>
            <w:r w:rsidR="008552DB">
              <w:rPr>
                <w:sz w:val="20"/>
              </w:rPr>
              <w:t xml:space="preserve"> and blank IMR.</w:t>
            </w:r>
          </w:p>
        </w:tc>
        <w:tc>
          <w:tcPr>
            <w:tcW w:w="709" w:type="dxa"/>
          </w:tcPr>
          <w:p w14:paraId="07DF5850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16E1BCD5" w14:textId="77777777" w:rsidTr="009D0A55">
        <w:tc>
          <w:tcPr>
            <w:tcW w:w="9923" w:type="dxa"/>
          </w:tcPr>
          <w:p w14:paraId="585B0E8F" w14:textId="604B35D2" w:rsidR="008552DB" w:rsidRPr="00301BC1" w:rsidRDefault="00301BC1" w:rsidP="00301BC1">
            <w:pPr>
              <w:pStyle w:val="ListParagraph"/>
              <w:numPr>
                <w:ilvl w:val="0"/>
                <w:numId w:val="9"/>
              </w:numPr>
              <w:tabs>
                <w:tab w:val="clear" w:pos="2835"/>
              </w:tabs>
              <w:spacing w:before="120" w:line="276" w:lineRule="auto"/>
              <w:ind w:left="363" w:hanging="357"/>
              <w:rPr>
                <w:sz w:val="20"/>
              </w:rPr>
            </w:pPr>
            <w:r>
              <w:rPr>
                <w:sz w:val="20"/>
              </w:rPr>
              <w:t>Implement</w:t>
            </w:r>
            <w:r w:rsidR="008552DB">
              <w:rPr>
                <w:sz w:val="20"/>
              </w:rPr>
              <w:t xml:space="preserve"> a process for issuing </w:t>
            </w:r>
            <w:r w:rsidR="008552DB" w:rsidRPr="00E815DC">
              <w:rPr>
                <w:b/>
                <w:sz w:val="20"/>
              </w:rPr>
              <w:t xml:space="preserve">Site </w:t>
            </w:r>
            <w:r w:rsidRPr="00E815DC">
              <w:rPr>
                <w:b/>
                <w:sz w:val="20"/>
              </w:rPr>
              <w:t>identification badges</w:t>
            </w:r>
            <w:r>
              <w:rPr>
                <w:sz w:val="20"/>
              </w:rPr>
              <w:t xml:space="preserve"> </w:t>
            </w:r>
            <w:r w:rsidR="008552DB">
              <w:rPr>
                <w:sz w:val="20"/>
              </w:rPr>
              <w:t>to service providers.</w:t>
            </w:r>
          </w:p>
        </w:tc>
        <w:tc>
          <w:tcPr>
            <w:tcW w:w="709" w:type="dxa"/>
          </w:tcPr>
          <w:p w14:paraId="384A5669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43CA70DE" w14:textId="77777777" w:rsidTr="009D0A55">
        <w:tc>
          <w:tcPr>
            <w:tcW w:w="9923" w:type="dxa"/>
            <w:shd w:val="clear" w:color="auto" w:fill="D9D9D9" w:themeFill="background1" w:themeFillShade="D9"/>
          </w:tcPr>
          <w:p w14:paraId="6D16042E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360" w:after="240" w:line="276" w:lineRule="auto"/>
              <w:ind w:left="0" w:hanging="1134"/>
              <w:contextualSpacing/>
              <w:rPr>
                <w:rFonts w:cs="Arial"/>
                <w:sz w:val="20"/>
              </w:rPr>
            </w:pPr>
            <w:r w:rsidRPr="000148B6">
              <w:rPr>
                <w:rFonts w:cs="Arial"/>
                <w:b/>
                <w:sz w:val="20"/>
              </w:rPr>
              <w:lastRenderedPageBreak/>
              <w:t>Next 6 months</w:t>
            </w:r>
            <w:r w:rsidRPr="00BC42D1">
              <w:rPr>
                <w:rFonts w:cs="Arial"/>
                <w:sz w:val="20"/>
              </w:rPr>
              <w:t xml:space="preserve"> (please read and check off the items below when completed)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B3986" w14:textId="77777777" w:rsidR="008552DB" w:rsidRPr="000148B6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240" w:line="276" w:lineRule="auto"/>
              <w:ind w:left="0" w:hanging="1134"/>
              <w:contextualSpacing/>
              <w:rPr>
                <w:rFonts w:cs="Arial"/>
                <w:b/>
                <w:sz w:val="20"/>
              </w:rPr>
            </w:pPr>
            <w:r w:rsidRPr="000148B6">
              <w:rPr>
                <w:rFonts w:cs="Arial"/>
                <w:b/>
                <w:sz w:val="20"/>
              </w:rPr>
              <w:sym w:font="Wingdings" w:char="F0FC"/>
            </w:r>
          </w:p>
        </w:tc>
      </w:tr>
      <w:tr w:rsidR="008552DB" w:rsidRPr="00BC42D1" w14:paraId="24044568" w14:textId="77777777" w:rsidTr="009D0A55">
        <w:tc>
          <w:tcPr>
            <w:tcW w:w="9923" w:type="dxa"/>
          </w:tcPr>
          <w:p w14:paraId="4858CE6A" w14:textId="2384511F" w:rsidR="008552DB" w:rsidRPr="00AC6FFD" w:rsidRDefault="00301BC1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Make </w:t>
            </w:r>
            <w:r w:rsidR="008552DB" w:rsidRPr="00BC42D1">
              <w:rPr>
                <w:rFonts w:cs="Arial"/>
                <w:sz w:val="20"/>
              </w:rPr>
              <w:t xml:space="preserve">sure all staff and P&amp;C have participated </w:t>
            </w:r>
            <w:r>
              <w:rPr>
                <w:rFonts w:cs="Arial"/>
                <w:sz w:val="20"/>
              </w:rPr>
              <w:t>(</w:t>
            </w:r>
            <w:r w:rsidR="008552DB" w:rsidRPr="00BC42D1">
              <w:rPr>
                <w:rFonts w:cs="Arial"/>
                <w:sz w:val="20"/>
              </w:rPr>
              <w:t xml:space="preserve">or are scheduled to </w:t>
            </w:r>
            <w:r w:rsidR="008552DB" w:rsidRPr="00AC6FFD">
              <w:rPr>
                <w:rFonts w:cs="Arial"/>
                <w:sz w:val="20"/>
              </w:rPr>
              <w:t>participate</w:t>
            </w:r>
            <w:r>
              <w:rPr>
                <w:rFonts w:cs="Arial"/>
                <w:sz w:val="20"/>
              </w:rPr>
              <w:t>)</w:t>
            </w:r>
            <w:r w:rsidR="008552DB" w:rsidRPr="00AC6FFD">
              <w:rPr>
                <w:rFonts w:cs="Arial"/>
                <w:sz w:val="20"/>
              </w:rPr>
              <w:t xml:space="preserve"> in the </w:t>
            </w:r>
            <w:r w:rsidR="008552DB" w:rsidRPr="00AC6FFD">
              <w:rPr>
                <w:rStyle w:val="Hyperlink"/>
                <w:color w:val="auto"/>
                <w:sz w:val="20"/>
                <w:u w:val="none"/>
              </w:rPr>
              <w:t xml:space="preserve">Asbestos </w:t>
            </w:r>
            <w:r>
              <w:rPr>
                <w:rStyle w:val="Hyperlink"/>
                <w:color w:val="auto"/>
                <w:sz w:val="20"/>
                <w:u w:val="none"/>
              </w:rPr>
              <w:t>a</w:t>
            </w:r>
            <w:r w:rsidR="008552DB" w:rsidRPr="00AC6FFD">
              <w:rPr>
                <w:rStyle w:val="Hyperlink"/>
                <w:color w:val="auto"/>
                <w:sz w:val="20"/>
                <w:u w:val="none"/>
              </w:rPr>
              <w:t>wareness annual presentation</w:t>
            </w:r>
            <w:r w:rsidR="008552DB" w:rsidRPr="00AC6FFD">
              <w:rPr>
                <w:rFonts w:cs="Arial"/>
                <w:sz w:val="20"/>
              </w:rPr>
              <w:t xml:space="preserve"> facilitated by the Building Manager (Principal). </w:t>
            </w:r>
          </w:p>
          <w:p w14:paraId="11F38EAE" w14:textId="2B7DEAB3" w:rsidR="008552DB" w:rsidRPr="00AC6FFD" w:rsidRDefault="00301BC1" w:rsidP="009D0A55">
            <w:pPr>
              <w:spacing w:before="120" w:line="276" w:lineRule="auto"/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8552DB" w:rsidRPr="00AC6FFD">
              <w:rPr>
                <w:rFonts w:cs="Arial"/>
                <w:sz w:val="20"/>
              </w:rPr>
              <w:t>ccess the vodcast</w:t>
            </w:r>
            <w:r>
              <w:rPr>
                <w:rFonts w:cs="Arial"/>
                <w:sz w:val="20"/>
              </w:rPr>
              <w:t xml:space="preserve"> on the</w:t>
            </w:r>
            <w:r w:rsidR="00D550C9">
              <w:rPr>
                <w:rFonts w:cs="Arial"/>
                <w:sz w:val="20"/>
              </w:rPr>
              <w:t xml:space="preserve"> Asbestos management website</w:t>
            </w:r>
            <w:r>
              <w:rPr>
                <w:rFonts w:cs="Arial"/>
                <w:sz w:val="20"/>
              </w:rPr>
              <w:t xml:space="preserve"> </w:t>
            </w:r>
            <w:r w:rsidR="008552DB" w:rsidRPr="00AC6FFD">
              <w:rPr>
                <w:rFonts w:cs="Arial"/>
                <w:sz w:val="20"/>
              </w:rPr>
              <w:t xml:space="preserve">‘Staff training’ page </w:t>
            </w:r>
            <w:r w:rsidR="00D550C9">
              <w:rPr>
                <w:rFonts w:cs="Arial"/>
                <w:sz w:val="20"/>
              </w:rPr>
              <w:t>under ‘</w:t>
            </w:r>
            <w:r w:rsidR="00217743">
              <w:rPr>
                <w:rStyle w:val="Hyperlink"/>
                <w:color w:val="auto"/>
                <w:sz w:val="20"/>
                <w:u w:val="none"/>
              </w:rPr>
              <w:t xml:space="preserve">Asbestos awareness </w:t>
            </w:r>
            <w:r w:rsidR="00D550C9">
              <w:rPr>
                <w:rStyle w:val="Hyperlink"/>
                <w:color w:val="auto"/>
                <w:sz w:val="20"/>
                <w:u w:val="none"/>
              </w:rPr>
              <w:t xml:space="preserve">— </w:t>
            </w:r>
            <w:r w:rsidR="008552DB" w:rsidRPr="00AC6FFD">
              <w:rPr>
                <w:rStyle w:val="Hyperlink"/>
                <w:color w:val="auto"/>
                <w:sz w:val="20"/>
                <w:u w:val="none"/>
              </w:rPr>
              <w:t>annual presentation</w:t>
            </w:r>
            <w:r w:rsidR="00D550C9">
              <w:rPr>
                <w:rStyle w:val="Hyperlink"/>
                <w:color w:val="auto"/>
                <w:sz w:val="20"/>
                <w:u w:val="none"/>
              </w:rPr>
              <w:t>’</w:t>
            </w:r>
            <w:r w:rsidR="008552DB" w:rsidRPr="00AC6FFD">
              <w:rPr>
                <w:rFonts w:cs="Arial"/>
                <w:sz w:val="20"/>
              </w:rPr>
              <w:t>.</w:t>
            </w:r>
          </w:p>
          <w:p w14:paraId="47B55857" w14:textId="6EB0B052" w:rsidR="008552DB" w:rsidRPr="00BC42D1" w:rsidRDefault="00D550C9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Make </w:t>
            </w:r>
            <w:r w:rsidR="008552DB" w:rsidRPr="00BC42D1">
              <w:rPr>
                <w:rFonts w:cs="Arial"/>
                <w:sz w:val="20"/>
              </w:rPr>
              <w:t>sure the attendance register is completed and kept for internal audit viewing.</w:t>
            </w:r>
          </w:p>
        </w:tc>
        <w:tc>
          <w:tcPr>
            <w:tcW w:w="709" w:type="dxa"/>
          </w:tcPr>
          <w:p w14:paraId="130AE51D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38C8DB5F" w14:textId="77777777" w:rsidTr="009D0A55">
        <w:tc>
          <w:tcPr>
            <w:tcW w:w="9923" w:type="dxa"/>
            <w:shd w:val="clear" w:color="auto" w:fill="D9D9D9" w:themeFill="background1" w:themeFillShade="D9"/>
          </w:tcPr>
          <w:p w14:paraId="52E75F47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  <w:r w:rsidRPr="000148B6">
              <w:rPr>
                <w:rFonts w:cs="Arial"/>
                <w:b/>
                <w:sz w:val="20"/>
              </w:rPr>
              <w:t>Ongoing</w:t>
            </w:r>
            <w:r w:rsidRPr="00BC42D1">
              <w:rPr>
                <w:rFonts w:cs="Arial"/>
                <w:sz w:val="20"/>
              </w:rPr>
              <w:t xml:space="preserve"> (please read and check off the items below when completed)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3EFEFD" w14:textId="77777777" w:rsidR="008552DB" w:rsidRPr="000148B6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b/>
                <w:sz w:val="20"/>
              </w:rPr>
            </w:pPr>
            <w:r w:rsidRPr="000148B6">
              <w:rPr>
                <w:rFonts w:cs="Arial"/>
                <w:b/>
                <w:sz w:val="20"/>
              </w:rPr>
              <w:sym w:font="Wingdings" w:char="F0FC"/>
            </w:r>
          </w:p>
        </w:tc>
      </w:tr>
      <w:tr w:rsidR="008552DB" w:rsidRPr="00BC42D1" w14:paraId="13CE5F9F" w14:textId="77777777" w:rsidTr="009D0A55">
        <w:tc>
          <w:tcPr>
            <w:tcW w:w="9923" w:type="dxa"/>
          </w:tcPr>
          <w:p w14:paraId="0C948C7A" w14:textId="79DDEC36" w:rsidR="008552DB" w:rsidRDefault="00D550C9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Continue to make </w:t>
            </w:r>
            <w:r w:rsidR="008552DB">
              <w:rPr>
                <w:sz w:val="20"/>
              </w:rPr>
              <w:t xml:space="preserve">sure </w:t>
            </w:r>
            <w:r w:rsidR="008552DB" w:rsidRPr="00E815DC">
              <w:rPr>
                <w:b/>
                <w:sz w:val="20"/>
              </w:rPr>
              <w:t>BEMR</w:t>
            </w:r>
            <w:r w:rsidR="008552DB">
              <w:rPr>
                <w:sz w:val="20"/>
              </w:rPr>
              <w:t xml:space="preserve"> is managed and used effectively including:</w:t>
            </w:r>
          </w:p>
          <w:p w14:paraId="39DDEA4E" w14:textId="0A18165B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Create/update/delete BEMIR </w:t>
            </w:r>
            <w:r w:rsidR="00D550C9">
              <w:rPr>
                <w:sz w:val="20"/>
              </w:rPr>
              <w:t xml:space="preserve">user accounts </w:t>
            </w:r>
            <w:r>
              <w:rPr>
                <w:sz w:val="20"/>
              </w:rPr>
              <w:t>as required.</w:t>
            </w:r>
          </w:p>
          <w:p w14:paraId="11727ED7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Maintain the currency of your Facility Contacts information in BEMIR.</w:t>
            </w:r>
          </w:p>
          <w:p w14:paraId="7078C309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BEMIR </w:t>
            </w:r>
            <w:r w:rsidRPr="00C15FE9">
              <w:rPr>
                <w:b/>
                <w:sz w:val="20"/>
              </w:rPr>
              <w:t xml:space="preserve">Work Area Access Permits (WAAPs) are issued </w:t>
            </w:r>
            <w:r>
              <w:rPr>
                <w:sz w:val="20"/>
              </w:rPr>
              <w:t>to all service providers for all facilities related works including maintenance, installation, construction and refurbishment.</w:t>
            </w:r>
          </w:p>
          <w:p w14:paraId="63DF34AA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BEMIR </w:t>
            </w:r>
            <w:r>
              <w:rPr>
                <w:b/>
                <w:sz w:val="20"/>
              </w:rPr>
              <w:t xml:space="preserve">WAAPs </w:t>
            </w:r>
            <w:r w:rsidRPr="00C15FE9">
              <w:rPr>
                <w:b/>
                <w:sz w:val="20"/>
              </w:rPr>
              <w:t>are finalised</w:t>
            </w:r>
            <w:r>
              <w:rPr>
                <w:sz w:val="20"/>
              </w:rPr>
              <w:t xml:space="preserve"> with all supporting documentation scanned and attached to the WAAP in BEMIR and then closed.</w:t>
            </w:r>
          </w:p>
          <w:p w14:paraId="04F45C77" w14:textId="77777777" w:rsidR="008552DB" w:rsidRPr="007F6AB3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i/>
                <w:sz w:val="20"/>
              </w:rPr>
            </w:pPr>
            <w:r w:rsidRPr="00C15FE9">
              <w:rPr>
                <w:b/>
                <w:sz w:val="20"/>
              </w:rPr>
              <w:t>Every six months, issue new period WAAPs</w:t>
            </w:r>
            <w:r>
              <w:rPr>
                <w:sz w:val="20"/>
              </w:rPr>
              <w:t xml:space="preserve"> in BEMIR to school based staff who undertake any general maintenance or routine ‘day-to-day’ tasks </w:t>
            </w:r>
            <w:r w:rsidRPr="00D550C9">
              <w:rPr>
                <w:sz w:val="20"/>
              </w:rPr>
              <w:t>(see *Note below)</w:t>
            </w:r>
            <w:r>
              <w:rPr>
                <w:i/>
                <w:sz w:val="20"/>
              </w:rPr>
              <w:t>.</w:t>
            </w:r>
          </w:p>
          <w:p w14:paraId="2D8BFAA1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 w:rsidRPr="00C15FE9">
              <w:rPr>
                <w:b/>
                <w:sz w:val="20"/>
              </w:rPr>
              <w:t>BEMIR Incident Management Reports</w:t>
            </w:r>
            <w:r>
              <w:rPr>
                <w:b/>
                <w:sz w:val="20"/>
              </w:rPr>
              <w:t xml:space="preserve"> (IMRs)</w:t>
            </w:r>
            <w:r>
              <w:rPr>
                <w:sz w:val="20"/>
              </w:rPr>
              <w:t xml:space="preserve"> are created within one hour of discovery of an assumed or confirmed asbestos-related incident.</w:t>
            </w:r>
          </w:p>
          <w:p w14:paraId="6E1AAB35" w14:textId="77777777" w:rsidR="008552DB" w:rsidRDefault="008552DB" w:rsidP="008552DB">
            <w:pPr>
              <w:pStyle w:val="ListParagraph"/>
              <w:numPr>
                <w:ilvl w:val="1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 w:rsidRPr="00C15FE9">
              <w:rPr>
                <w:b/>
                <w:sz w:val="20"/>
              </w:rPr>
              <w:t>BEMIR IMRs</w:t>
            </w:r>
            <w:r>
              <w:rPr>
                <w:sz w:val="20"/>
              </w:rPr>
              <w:t xml:space="preserve"> are finalised and closed when the incident has been resolved and the area cleared for re-use.</w:t>
            </w:r>
          </w:p>
          <w:p w14:paraId="1026FD5A" w14:textId="77A96072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contextualSpacing/>
              <w:rPr>
                <w:rFonts w:cs="Arial"/>
                <w:sz w:val="20"/>
              </w:rPr>
            </w:pPr>
            <w:r>
              <w:rPr>
                <w:sz w:val="20"/>
              </w:rPr>
              <w:t>Hard copy of the asbestos register is routine</w:t>
            </w:r>
            <w:r w:rsidR="00D550C9">
              <w:rPr>
                <w:sz w:val="20"/>
              </w:rPr>
              <w:t>ly replaced to ensure currency —</w:t>
            </w:r>
            <w:r>
              <w:rPr>
                <w:sz w:val="20"/>
              </w:rPr>
              <w:t xml:space="preserve"> every 6 months.</w:t>
            </w:r>
          </w:p>
        </w:tc>
        <w:tc>
          <w:tcPr>
            <w:tcW w:w="709" w:type="dxa"/>
          </w:tcPr>
          <w:p w14:paraId="42D22B27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24CD2894" w14:textId="77777777" w:rsidTr="009D0A55">
        <w:tc>
          <w:tcPr>
            <w:tcW w:w="9923" w:type="dxa"/>
            <w:tcBorders>
              <w:bottom w:val="single" w:sz="4" w:space="0" w:color="auto"/>
            </w:tcBorders>
          </w:tcPr>
          <w:p w14:paraId="6F37122D" w14:textId="77777777" w:rsidR="008552DB" w:rsidRDefault="008552DB" w:rsidP="008552DB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>All staff participate in education and awareness activities to ensure that assumed or confirmed asbestos-containing material (ACM) is managed effectively in department-owned schools and workplaces.</w:t>
            </w:r>
          </w:p>
          <w:p w14:paraId="2EC14A20" w14:textId="10079ABD" w:rsidR="008552DB" w:rsidRDefault="008552DB" w:rsidP="008552DB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Staff assigned to the Asbestos Management Team (AMT) are aware of their roles &amp; responsibilities by </w:t>
            </w:r>
            <w:r w:rsidR="00D550C9">
              <w:rPr>
                <w:b/>
                <w:sz w:val="20"/>
              </w:rPr>
              <w:t>completing AMT t</w:t>
            </w:r>
            <w:r w:rsidRPr="009428A8">
              <w:rPr>
                <w:b/>
                <w:sz w:val="20"/>
              </w:rPr>
              <w:t>raining</w:t>
            </w:r>
            <w:r>
              <w:rPr>
                <w:sz w:val="20"/>
              </w:rPr>
              <w:t xml:space="preserve"> prior to commencing the role. </w:t>
            </w:r>
          </w:p>
          <w:p w14:paraId="4845782E" w14:textId="77777777" w:rsidR="008552DB" w:rsidRDefault="008552DB" w:rsidP="008552DB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The Principal completes the online </w:t>
            </w:r>
            <w:r w:rsidRPr="009428A8">
              <w:rPr>
                <w:b/>
                <w:sz w:val="20"/>
              </w:rPr>
              <w:t>School AMT Data Collection</w:t>
            </w:r>
            <w:r>
              <w:rPr>
                <w:sz w:val="20"/>
              </w:rPr>
              <w:t xml:space="preserve"> at the end of February and the end of July each year to identify current AMT members.</w:t>
            </w:r>
          </w:p>
          <w:p w14:paraId="2C204C49" w14:textId="63FC21D0" w:rsidR="008552DB" w:rsidRDefault="008552DB" w:rsidP="008552DB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D550C9">
              <w:rPr>
                <w:b/>
                <w:sz w:val="20"/>
              </w:rPr>
              <w:t xml:space="preserve">Asbestos awareness </w:t>
            </w:r>
            <w:r w:rsidRPr="009428A8">
              <w:rPr>
                <w:b/>
                <w:sz w:val="20"/>
              </w:rPr>
              <w:t>annual presentation</w:t>
            </w:r>
            <w:r>
              <w:rPr>
                <w:sz w:val="20"/>
              </w:rPr>
              <w:t xml:space="preserve"> is routinely scheduled in the annual staff induction program.</w:t>
            </w:r>
          </w:p>
          <w:p w14:paraId="6E1B629C" w14:textId="77777777" w:rsidR="008552DB" w:rsidRPr="008836D8" w:rsidRDefault="008552DB" w:rsidP="008552DB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 w:rsidRPr="007F6AB3">
              <w:rPr>
                <w:sz w:val="20"/>
              </w:rPr>
              <w:t xml:space="preserve">All </w:t>
            </w:r>
            <w:r>
              <w:rPr>
                <w:sz w:val="20"/>
              </w:rPr>
              <w:t>staff and P&amp;C are aware of the process for reporting concerns or damage to buildings to a member of the Asbestos Management Team (AMT).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A2EF90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367436EE" w14:textId="77777777" w:rsidTr="009D0A55">
        <w:tc>
          <w:tcPr>
            <w:tcW w:w="9923" w:type="dxa"/>
            <w:tcBorders>
              <w:bottom w:val="single" w:sz="4" w:space="0" w:color="auto"/>
            </w:tcBorders>
          </w:tcPr>
          <w:p w14:paraId="6D9A7142" w14:textId="27C4B173" w:rsidR="008552DB" w:rsidRDefault="00134068" w:rsidP="008552DB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</w:tabs>
              <w:spacing w:before="120" w:line="276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Make </w:t>
            </w:r>
            <w:r w:rsidR="008552DB">
              <w:rPr>
                <w:sz w:val="20"/>
              </w:rPr>
              <w:t xml:space="preserve">sure the </w:t>
            </w:r>
            <w:r w:rsidR="008552DB">
              <w:rPr>
                <w:b/>
                <w:sz w:val="20"/>
              </w:rPr>
              <w:t>Asbestos warning sign</w:t>
            </w:r>
            <w:r w:rsidR="008552DB">
              <w:rPr>
                <w:sz w:val="20"/>
              </w:rPr>
              <w:t xml:space="preserve"> is displayed as per the department’s requirements.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F7D35B" w14:textId="77777777" w:rsidR="008552DB" w:rsidRPr="00BC42D1" w:rsidRDefault="008552DB" w:rsidP="008552DB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</w:tabs>
              <w:spacing w:before="120" w:line="276" w:lineRule="auto"/>
              <w:ind w:left="0" w:hanging="1134"/>
              <w:contextualSpacing/>
              <w:rPr>
                <w:rFonts w:cs="Arial"/>
                <w:sz w:val="20"/>
              </w:rPr>
            </w:pPr>
          </w:p>
        </w:tc>
      </w:tr>
      <w:tr w:rsidR="008552DB" w:rsidRPr="00BC42D1" w14:paraId="46C73298" w14:textId="77777777" w:rsidTr="009D0A55">
        <w:tc>
          <w:tcPr>
            <w:tcW w:w="9923" w:type="dxa"/>
            <w:shd w:val="clear" w:color="auto" w:fill="BFBFBF" w:themeFill="background1" w:themeFillShade="BF"/>
          </w:tcPr>
          <w:p w14:paraId="236C1F61" w14:textId="77777777" w:rsidR="008552DB" w:rsidRPr="00BC42D1" w:rsidRDefault="008552DB" w:rsidP="009D0A55">
            <w:pPr>
              <w:spacing w:before="120" w:line="276" w:lineRule="auto"/>
              <w:ind w:left="-1134"/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5FC9AB1" w14:textId="77777777" w:rsidR="008552DB" w:rsidRPr="00BC42D1" w:rsidRDefault="008552DB" w:rsidP="009D0A55">
            <w:pPr>
              <w:spacing w:before="120" w:line="276" w:lineRule="auto"/>
              <w:ind w:left="-1134"/>
              <w:rPr>
                <w:rFonts w:cs="Arial"/>
                <w:sz w:val="20"/>
              </w:rPr>
            </w:pPr>
          </w:p>
        </w:tc>
      </w:tr>
      <w:tr w:rsidR="008552DB" w:rsidRPr="00BC42D1" w14:paraId="33087B2C" w14:textId="77777777" w:rsidTr="009D0A55">
        <w:trPr>
          <w:trHeight w:val="1585"/>
        </w:trPr>
        <w:tc>
          <w:tcPr>
            <w:tcW w:w="10632" w:type="dxa"/>
            <w:gridSpan w:val="2"/>
          </w:tcPr>
          <w:p w14:paraId="62ECD732" w14:textId="71C712FD" w:rsidR="008552DB" w:rsidRPr="00D550C9" w:rsidRDefault="00D550C9" w:rsidP="00217743">
            <w:pPr>
              <w:spacing w:before="120" w:line="276" w:lineRule="auto"/>
              <w:ind w:left="6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*</w:t>
            </w:r>
            <w:r w:rsidR="008552DB" w:rsidRPr="00D550C9">
              <w:rPr>
                <w:rFonts w:cs="Arial"/>
                <w:b/>
                <w:sz w:val="20"/>
              </w:rPr>
              <w:t>Note:</w:t>
            </w:r>
            <w:r>
              <w:rPr>
                <w:rFonts w:cs="Arial"/>
                <w:b/>
                <w:sz w:val="20"/>
              </w:rPr>
              <w:t xml:space="preserve"> Special r</w:t>
            </w:r>
            <w:r w:rsidR="008552DB" w:rsidRPr="00D550C9">
              <w:rPr>
                <w:rFonts w:cs="Arial"/>
                <w:b/>
                <w:sz w:val="20"/>
              </w:rPr>
              <w:t>equirement when issuing period WAAPs to employees.</w:t>
            </w:r>
            <w:r w:rsidR="008552DB" w:rsidRPr="00D550C9">
              <w:rPr>
                <w:rFonts w:cs="Arial"/>
                <w:sz w:val="20"/>
              </w:rPr>
              <w:t xml:space="preserve"> As employees are not to undertake any work on ACMs, please insert </w:t>
            </w:r>
            <w:r>
              <w:rPr>
                <w:rFonts w:cs="Arial"/>
                <w:sz w:val="20"/>
              </w:rPr>
              <w:t>the following statement in the Special Conditions</w:t>
            </w:r>
            <w:r w:rsidR="008552DB" w:rsidRPr="00D550C9">
              <w:rPr>
                <w:rFonts w:cs="Arial"/>
                <w:sz w:val="20"/>
              </w:rPr>
              <w:t xml:space="preserve"> section of the WAAP </w:t>
            </w:r>
            <w:r>
              <w:rPr>
                <w:rFonts w:cs="Arial"/>
                <w:sz w:val="20"/>
              </w:rPr>
              <w:t>(</w:t>
            </w:r>
            <w:r w:rsidR="008552DB" w:rsidRPr="00D550C9">
              <w:rPr>
                <w:rFonts w:cs="Arial"/>
                <w:sz w:val="20"/>
              </w:rPr>
              <w:t>when creating electronically in BEMIR</w:t>
            </w:r>
            <w:r>
              <w:rPr>
                <w:rFonts w:cs="Arial"/>
                <w:sz w:val="20"/>
              </w:rPr>
              <w:t>):</w:t>
            </w:r>
            <w:r w:rsidR="008552DB" w:rsidRPr="00D550C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‘Requirements in the attached General Conditions of Access, </w:t>
            </w:r>
            <w:r w:rsidR="008552DB" w:rsidRPr="00D550C9">
              <w:rPr>
                <w:rFonts w:cs="Arial"/>
                <w:sz w:val="20"/>
              </w:rPr>
              <w:t>Special Conditi</w:t>
            </w:r>
            <w:r>
              <w:rPr>
                <w:rFonts w:cs="Arial"/>
                <w:sz w:val="20"/>
              </w:rPr>
              <w:t>ons of Access (Asbestos) and Sections A and B in the After the Work is Completed</w:t>
            </w:r>
            <w:r w:rsidR="008552DB" w:rsidRPr="00D550C9">
              <w:rPr>
                <w:rFonts w:cs="Arial"/>
                <w:sz w:val="20"/>
              </w:rPr>
              <w:t xml:space="preserve"> section of the WAAP do not apply to DoE employees as DoE employees are no</w:t>
            </w:r>
            <w:r>
              <w:rPr>
                <w:rFonts w:cs="Arial"/>
                <w:sz w:val="20"/>
              </w:rPr>
              <w:t>t to undertake ANY work on ACM.’</w:t>
            </w:r>
          </w:p>
        </w:tc>
      </w:tr>
    </w:tbl>
    <w:p w14:paraId="676A10F0" w14:textId="3C82E491" w:rsidR="008552DB" w:rsidRPr="0034041E" w:rsidRDefault="008552DB" w:rsidP="008870A1">
      <w:pPr>
        <w:spacing w:after="0"/>
        <w:ind w:left="-992" w:right="-1049"/>
        <w:rPr>
          <w:sz w:val="6"/>
          <w:lang w:eastAsia="en-AU"/>
        </w:rPr>
      </w:pPr>
    </w:p>
    <w:p w14:paraId="04875A95" w14:textId="16706089" w:rsidR="008870A1" w:rsidRPr="00AC6FFD" w:rsidRDefault="00AC6FFD" w:rsidP="00DB030B">
      <w:pPr>
        <w:spacing w:after="40"/>
        <w:ind w:left="-992" w:right="-1049"/>
        <w:rPr>
          <w:b/>
          <w:sz w:val="20"/>
          <w:lang w:eastAsia="en-AU"/>
        </w:rPr>
      </w:pPr>
      <w:r>
        <w:rPr>
          <w:b/>
          <w:sz w:val="20"/>
          <w:lang w:eastAsia="en-AU"/>
        </w:rPr>
        <w:t>Helpful links</w:t>
      </w:r>
      <w:r w:rsidR="008870A1" w:rsidRPr="00AC6FFD">
        <w:rPr>
          <w:b/>
          <w:sz w:val="20"/>
          <w:lang w:eastAsia="en-AU"/>
        </w:rPr>
        <w:t>:</w:t>
      </w:r>
    </w:p>
    <w:tbl>
      <w:tblPr>
        <w:tblStyle w:val="TableGrid"/>
        <w:tblW w:w="9351" w:type="dxa"/>
        <w:tblInd w:w="-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8870A1" w14:paraId="29D051C6" w14:textId="77777777" w:rsidTr="00AC6FFD">
        <w:tc>
          <w:tcPr>
            <w:tcW w:w="4106" w:type="dxa"/>
          </w:tcPr>
          <w:p w14:paraId="09C33F87" w14:textId="07F8E964" w:rsidR="008870A1" w:rsidRPr="00AC6FFD" w:rsidRDefault="00217743" w:rsidP="00DB030B">
            <w:pPr>
              <w:spacing w:after="0"/>
              <w:ind w:left="-108" w:right="-1049"/>
              <w:rPr>
                <w:lang w:eastAsia="en-AU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Asbestos m</w:t>
            </w:r>
            <w:r w:rsidR="00AC6FFD" w:rsidRPr="00AC6FFD">
              <w:rPr>
                <w:rStyle w:val="Hyperlink"/>
                <w:color w:val="auto"/>
                <w:sz w:val="20"/>
                <w:u w:val="none"/>
              </w:rPr>
              <w:t>anagement website</w:t>
            </w:r>
          </w:p>
        </w:tc>
        <w:tc>
          <w:tcPr>
            <w:tcW w:w="5245" w:type="dxa"/>
          </w:tcPr>
          <w:p w14:paraId="2268CEC0" w14:textId="55B96EF6" w:rsidR="008870A1" w:rsidRPr="00217743" w:rsidRDefault="0059226B" w:rsidP="00DB030B">
            <w:pPr>
              <w:spacing w:after="0"/>
              <w:ind w:right="-1049"/>
              <w:rPr>
                <w:sz w:val="20"/>
                <w:lang w:eastAsia="en-AU"/>
              </w:rPr>
            </w:pPr>
            <w:hyperlink r:id="rId11" w:history="1">
              <w:r w:rsidR="00217743" w:rsidRPr="00217743">
                <w:rPr>
                  <w:rStyle w:val="Hyperlink"/>
                  <w:sz w:val="20"/>
                  <w:lang w:eastAsia="en-AU"/>
                </w:rPr>
                <w:t>https://education.qld.gov.au/about-us/reporting-data-research/reporting/asbestos-management</w:t>
              </w:r>
            </w:hyperlink>
          </w:p>
        </w:tc>
      </w:tr>
      <w:tr w:rsidR="008870A1" w14:paraId="5A14BEA0" w14:textId="77777777" w:rsidTr="00AC6FFD">
        <w:tc>
          <w:tcPr>
            <w:tcW w:w="4106" w:type="dxa"/>
          </w:tcPr>
          <w:p w14:paraId="37DDF159" w14:textId="2B38D6F2" w:rsidR="008870A1" w:rsidRPr="00AC6FFD" w:rsidRDefault="00217743" w:rsidP="0034041E">
            <w:pPr>
              <w:spacing w:before="20" w:after="0"/>
              <w:ind w:left="-108" w:right="-1049"/>
              <w:jc w:val="both"/>
              <w:rPr>
                <w:color w:val="002060"/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Asbestos a</w:t>
            </w:r>
            <w:r w:rsidR="00AC6FFD" w:rsidRPr="00AC6FFD">
              <w:rPr>
                <w:rStyle w:val="Hyperlink"/>
                <w:color w:val="auto"/>
                <w:sz w:val="20"/>
                <w:u w:val="none"/>
              </w:rPr>
              <w:t>wareness annual presentation</w:t>
            </w:r>
          </w:p>
        </w:tc>
        <w:tc>
          <w:tcPr>
            <w:tcW w:w="5245" w:type="dxa"/>
          </w:tcPr>
          <w:p w14:paraId="5880A3B2" w14:textId="25035293" w:rsidR="008870A1" w:rsidRPr="00217743" w:rsidRDefault="0059226B" w:rsidP="0034041E">
            <w:pPr>
              <w:spacing w:before="20" w:after="0"/>
              <w:ind w:right="-1049"/>
              <w:rPr>
                <w:sz w:val="20"/>
                <w:lang w:eastAsia="en-AU"/>
              </w:rPr>
            </w:pPr>
            <w:hyperlink r:id="rId12" w:history="1">
              <w:r w:rsidR="00217743" w:rsidRPr="00217743">
                <w:rPr>
                  <w:rStyle w:val="Hyperlink"/>
                  <w:sz w:val="20"/>
                  <w:lang w:eastAsia="en-AU"/>
                </w:rPr>
                <w:t>https://education.qld.gov.au/about-us/reporting-data-research/reporting/asbestos-management/staff-training</w:t>
              </w:r>
            </w:hyperlink>
            <w:r w:rsidR="00AC6FFD" w:rsidRPr="00217743">
              <w:rPr>
                <w:sz w:val="20"/>
                <w:lang w:eastAsia="en-AU"/>
              </w:rPr>
              <w:t xml:space="preserve"> </w:t>
            </w:r>
          </w:p>
        </w:tc>
      </w:tr>
    </w:tbl>
    <w:p w14:paraId="23FD3C6F" w14:textId="77777777" w:rsidR="008870A1" w:rsidRPr="00DB030B" w:rsidRDefault="008870A1" w:rsidP="00AC6FFD">
      <w:pPr>
        <w:spacing w:after="0"/>
        <w:ind w:left="-992" w:right="-1049"/>
        <w:rPr>
          <w:sz w:val="2"/>
          <w:lang w:eastAsia="en-AU"/>
        </w:rPr>
      </w:pPr>
    </w:p>
    <w:sectPr w:rsidR="008870A1" w:rsidRPr="00DB030B" w:rsidSect="006920C1">
      <w:headerReference w:type="default" r:id="rId13"/>
      <w:pgSz w:w="11900" w:h="16840"/>
      <w:pgMar w:top="2268" w:right="209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ABFF5" w14:textId="77777777" w:rsidR="0059226B" w:rsidRDefault="0059226B" w:rsidP="00190C24">
      <w:r>
        <w:separator/>
      </w:r>
    </w:p>
  </w:endnote>
  <w:endnote w:type="continuationSeparator" w:id="0">
    <w:p w14:paraId="56911BDE" w14:textId="77777777" w:rsidR="0059226B" w:rsidRDefault="0059226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panose1 w:val="02010600030101010101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9EE41" w14:textId="77777777" w:rsidR="0059226B" w:rsidRDefault="0059226B" w:rsidP="00190C24">
      <w:r>
        <w:separator/>
      </w:r>
    </w:p>
  </w:footnote>
  <w:footnote w:type="continuationSeparator" w:id="0">
    <w:p w14:paraId="020A938F" w14:textId="77777777" w:rsidR="0059226B" w:rsidRDefault="0059226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ABBD" w14:textId="77777777" w:rsidR="00D01CD2" w:rsidRDefault="00315E0D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7B9B4CCE" wp14:editId="0FDE85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35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8A2">
      <w:rPr>
        <w:noProof/>
        <w:lang w:eastAsia="zh-TW"/>
      </w:rPr>
      <w:drawing>
        <wp:anchor distT="0" distB="0" distL="114300" distR="114300" simplePos="0" relativeHeight="251660288" behindDoc="1" locked="1" layoutInCell="1" allowOverlap="1" wp14:anchorId="66B84E11" wp14:editId="4797DC4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500" cy="964565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6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A6FA8"/>
    <w:multiLevelType w:val="hybridMultilevel"/>
    <w:tmpl w:val="6D90B42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F22C0"/>
    <w:multiLevelType w:val="hybridMultilevel"/>
    <w:tmpl w:val="A0F2105C"/>
    <w:lvl w:ilvl="0" w:tplc="9BB4D54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41BD5"/>
    <w:multiLevelType w:val="hybridMultilevel"/>
    <w:tmpl w:val="D802579E"/>
    <w:lvl w:ilvl="0" w:tplc="9BB4D540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87CF3"/>
    <w:multiLevelType w:val="hybridMultilevel"/>
    <w:tmpl w:val="7FBE3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3E72"/>
    <w:multiLevelType w:val="hybridMultilevel"/>
    <w:tmpl w:val="069E4FC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6E6467"/>
    <w:multiLevelType w:val="hybridMultilevel"/>
    <w:tmpl w:val="B742F370"/>
    <w:lvl w:ilvl="0" w:tplc="9BB4D5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A07"/>
    <w:multiLevelType w:val="hybridMultilevel"/>
    <w:tmpl w:val="D32E4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62B7"/>
    <w:multiLevelType w:val="hybridMultilevel"/>
    <w:tmpl w:val="A09E6AC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2"/>
    <w:rsid w:val="000436FC"/>
    <w:rsid w:val="000B61AC"/>
    <w:rsid w:val="000F7FDE"/>
    <w:rsid w:val="00120BC8"/>
    <w:rsid w:val="00134068"/>
    <w:rsid w:val="00190C24"/>
    <w:rsid w:val="00217743"/>
    <w:rsid w:val="002371F7"/>
    <w:rsid w:val="002F78A2"/>
    <w:rsid w:val="00301BC1"/>
    <w:rsid w:val="00315E0D"/>
    <w:rsid w:val="0034041E"/>
    <w:rsid w:val="0034441F"/>
    <w:rsid w:val="00385A56"/>
    <w:rsid w:val="00404BCA"/>
    <w:rsid w:val="004832DB"/>
    <w:rsid w:val="004D327F"/>
    <w:rsid w:val="00512D0E"/>
    <w:rsid w:val="00550FD8"/>
    <w:rsid w:val="0059226B"/>
    <w:rsid w:val="00596DC5"/>
    <w:rsid w:val="005A756F"/>
    <w:rsid w:val="005E1001"/>
    <w:rsid w:val="005F4331"/>
    <w:rsid w:val="00602A56"/>
    <w:rsid w:val="00621E8A"/>
    <w:rsid w:val="006239A5"/>
    <w:rsid w:val="00636B71"/>
    <w:rsid w:val="00694A40"/>
    <w:rsid w:val="006C15C4"/>
    <w:rsid w:val="006C3D8E"/>
    <w:rsid w:val="007449C9"/>
    <w:rsid w:val="00840BB4"/>
    <w:rsid w:val="008552DB"/>
    <w:rsid w:val="00882756"/>
    <w:rsid w:val="008870A1"/>
    <w:rsid w:val="008D1DF8"/>
    <w:rsid w:val="008D385C"/>
    <w:rsid w:val="00907963"/>
    <w:rsid w:val="00941293"/>
    <w:rsid w:val="00956F22"/>
    <w:rsid w:val="0096078C"/>
    <w:rsid w:val="0096595E"/>
    <w:rsid w:val="009823D7"/>
    <w:rsid w:val="009E5EE5"/>
    <w:rsid w:val="00A47F67"/>
    <w:rsid w:val="00A65710"/>
    <w:rsid w:val="00AA0B3C"/>
    <w:rsid w:val="00AB0A25"/>
    <w:rsid w:val="00AC555D"/>
    <w:rsid w:val="00AC6FFD"/>
    <w:rsid w:val="00B17FD2"/>
    <w:rsid w:val="00B30C9E"/>
    <w:rsid w:val="00B32048"/>
    <w:rsid w:val="00B33337"/>
    <w:rsid w:val="00B7220F"/>
    <w:rsid w:val="00B8699D"/>
    <w:rsid w:val="00B9771E"/>
    <w:rsid w:val="00C57F7C"/>
    <w:rsid w:val="00C57F92"/>
    <w:rsid w:val="00C9180C"/>
    <w:rsid w:val="00CB07AD"/>
    <w:rsid w:val="00CD793C"/>
    <w:rsid w:val="00CE66A5"/>
    <w:rsid w:val="00D01CD2"/>
    <w:rsid w:val="00D33408"/>
    <w:rsid w:val="00D550C9"/>
    <w:rsid w:val="00D57AEB"/>
    <w:rsid w:val="00D75050"/>
    <w:rsid w:val="00D77BA7"/>
    <w:rsid w:val="00D842DF"/>
    <w:rsid w:val="00DA7957"/>
    <w:rsid w:val="00DB030B"/>
    <w:rsid w:val="00DC5E03"/>
    <w:rsid w:val="00E1098B"/>
    <w:rsid w:val="00E52BD7"/>
    <w:rsid w:val="00E73FFA"/>
    <w:rsid w:val="00EF474F"/>
    <w:rsid w:val="00EF4AC5"/>
    <w:rsid w:val="00F009E5"/>
    <w:rsid w:val="00F447A2"/>
    <w:rsid w:val="00F87C9C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BA16"/>
  <w15:chartTrackingRefBased/>
  <w15:docId w15:val="{5CD1144E-1DE9-45F0-94A9-C1F7BE18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paragraph" w:customStyle="1" w:styleId="BasicParagraph">
    <w:name w:val="[Basic Paragraph]"/>
    <w:basedOn w:val="Normal"/>
    <w:uiPriority w:val="99"/>
    <w:rsid w:val="00C57F7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1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0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0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E1001"/>
    <w:rPr>
      <w:color w:val="0563C1" w:themeColor="hyperlink"/>
      <w:u w:val="single"/>
    </w:rPr>
  </w:style>
  <w:style w:type="table" w:styleId="TableGrid">
    <w:name w:val="Table Grid"/>
    <w:basedOn w:val="TableNormal"/>
    <w:rsid w:val="008552DB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441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about-us/reporting-data-research/reporting/asbestos-management/staff-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about-us/reporting-data-research/reporting/asbestos-manage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SPECHT, Lisa</DisplayName>
        <AccountId>64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2019-09-20T05:53:59+00:00</PPLastReviewedDate>
    <Category_x0020_About_x0020_us xmlns="f114f5df-7614-43c1-ba8e-2daa6e537108" xsi:nil="true"/>
    <PPPublishedNotificationAddresses xmlns="f114f5df-7614-43c1-ba8e-2daa6e537108" xsi:nil="true"/>
    <PPModeratedDate xmlns="f114f5df-7614-43c1-ba8e-2daa6e537108">2019-09-20T05:53:59+00:00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SPECHT, Lisa</DisplayName>
        <AccountId>64</AccountId>
        <AccountType/>
      </UserInfo>
    </PPSubmittedBy>
    <PPReviewDate xmlns="f114f5df-7614-43c1-ba8e-2daa6e537108" xsi:nil="true"/>
    <PPLastReviewedBy xmlns="f114f5df-7614-43c1-ba8e-2daa6e537108">
      <UserInfo>
        <DisplayName>SPECHT, Lisa</DisplayName>
        <AccountId>64</AccountId>
        <AccountType/>
      </UserInfo>
    </PPLastReviewedBy>
    <PPSubmittedDate xmlns="f114f5df-7614-43c1-ba8e-2daa6e537108">2019-09-20T05:53:43+00:00</PPSubmittedDate>
    <PPReferenceNumber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B9E37-43F8-42E9-B498-7F02C9E693E8}"/>
</file>

<file path=customXml/itemProps2.xml><?xml version="1.0" encoding="utf-8"?>
<ds:datastoreItem xmlns:ds="http://schemas.openxmlformats.org/officeDocument/2006/customXml" ds:itemID="{4FDAA339-E06E-494F-A49E-539D095629B9}"/>
</file>

<file path=customXml/itemProps3.xml><?xml version="1.0" encoding="utf-8"?>
<ds:datastoreItem xmlns:ds="http://schemas.openxmlformats.org/officeDocument/2006/customXml" ds:itemID="{9263886D-ED34-408E-9209-70D6D02F182F}"/>
</file>

<file path=customXml/itemProps4.xml><?xml version="1.0" encoding="utf-8"?>
<ds:datastoreItem xmlns:ds="http://schemas.openxmlformats.org/officeDocument/2006/customXml" ds:itemID="{F0C52A28-6F96-4169-B44F-2EBB3FB70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certificate</vt:lpstr>
    </vt:vector>
  </TitlesOfParts>
  <Company>Queensland Government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management action plan</dc:title>
  <dc:subject/>
  <dc:creator>Microsoft Office User</dc:creator>
  <cp:keywords>DoE Corporate A4 certificate; DoE corporate;</cp:keywords>
  <cp:lastModifiedBy>MAAS, Michael</cp:lastModifiedBy>
  <cp:revision>2</cp:revision>
  <cp:lastPrinted>2018-01-23T05:15:00Z</cp:lastPrinted>
  <dcterms:created xsi:type="dcterms:W3CDTF">2019-09-17T04:30:00Z</dcterms:created>
  <dcterms:modified xsi:type="dcterms:W3CDTF">2019-09-17T04:30:00Z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0x01010042EBEC6873445749BCFBC9D4A3502FB9</vt:lpwstr>
  </property>
</Properties>
</file>