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246" w14:textId="43268314" w:rsidR="00CE01BA" w:rsidRPr="006E1BC7" w:rsidRDefault="00FA17BB" w:rsidP="00EC3FEC">
      <w:pPr>
        <w:pStyle w:val="Title1"/>
        <w:spacing w:before="0" w:after="120" w:line="24" w:lineRule="atLeast"/>
      </w:pPr>
      <w:r w:rsidRPr="00FA17BB">
        <w:t>Educational precincts</w:t>
      </w:r>
    </w:p>
    <w:p w14:paraId="6631CD86" w14:textId="77777777" w:rsidR="00FA17BB" w:rsidRDefault="004A0F10" w:rsidP="00EC3FEC">
      <w:pPr>
        <w:pStyle w:val="Title2"/>
        <w:spacing w:before="0" w:after="120" w:line="24" w:lineRule="atLeast"/>
      </w:pPr>
      <w:r w:rsidRPr="004A0F10">
        <w:t xml:space="preserve">A </w:t>
      </w:r>
      <w:r w:rsidR="00FA17BB" w:rsidRPr="00FA17BB">
        <w:t>structured cross-agency approach to collective planning and resourcing across school communities to address community challenges that drive disparities or present opportunities to improve educational outcomes.</w:t>
      </w:r>
    </w:p>
    <w:p w14:paraId="1431CFFC" w14:textId="77777777" w:rsidR="00FA17BB" w:rsidRPr="00FA17BB" w:rsidRDefault="00FA17BB" w:rsidP="00EC3FEC">
      <w:pPr>
        <w:spacing w:line="24" w:lineRule="atLeast"/>
        <w:rPr>
          <w:rFonts w:cs="Arial"/>
        </w:rPr>
      </w:pPr>
      <w:r w:rsidRPr="00FA17BB">
        <w:rPr>
          <w:rFonts w:cs="Arial"/>
        </w:rPr>
        <w:t>Across Queensland, schools come together in a variety of ways to collaborate, share what works and create innovative and community-centred solutions to problems of practice. Though effective practices may be shared through collaborative arrangements, without a formalised or structured approach to identification of needs, expected outcomes and sustainable investment, the impact of the schools is not considered collectively and may be limited. Educational precincts seek to maximise the impact of collective and collaborative cross-agency approaches in responding to community issues. They represent an opportunity for schools to contribute their expertise to collectively focus on better meeting the needs of communities. This could include lifting performance and improving outcomes, improving access to diverse curriculum offerings, sustainably managing growth or responding to issues of school utilisation disparity. Precinct responses harness the collective capability across agencies to maximise outcomes.</w:t>
      </w:r>
    </w:p>
    <w:p w14:paraId="01BC3826" w14:textId="75E46F1A" w:rsidR="004A0F10" w:rsidRDefault="00FA17BB" w:rsidP="00EC3FEC">
      <w:pPr>
        <w:pStyle w:val="Heading3"/>
        <w:spacing w:before="0" w:line="24" w:lineRule="atLeast"/>
      </w:pPr>
      <w:r w:rsidRPr="00FA17BB">
        <w:t>Approach</w:t>
      </w:r>
    </w:p>
    <w:p w14:paraId="578725C4" w14:textId="41FBBD45" w:rsidR="00FA17BB" w:rsidRDefault="00FA17BB" w:rsidP="00EC3FEC">
      <w:pPr>
        <w:spacing w:line="24" w:lineRule="atLeast"/>
        <w:rPr>
          <w:rFonts w:cs="Arial"/>
        </w:rPr>
      </w:pPr>
      <w:r w:rsidRPr="00FA17BB">
        <w:rPr>
          <w:rFonts w:cs="Arial"/>
        </w:rPr>
        <w:t>An educational precinct is a group of schools who take a collective and coordinated approach to planning, resourcing and designing responses to address challenges and meet needs within their precinct. Together they plan, design and deliver integrated strategies designed to respond to the issues faced by their shared community. This may include strategies for transitions from early childhood education and care, enrolment, curriculum, resourcing, performance improvement, technology and teaching to meet specific community needs. The schools bring together local, cross-sector and cross-government partners’ expertise to work collaboratively in a structured and supported way, and benefit from shared access to resources and flexible, co-designed approaches to lifting outcomes in their communities.</w:t>
      </w:r>
    </w:p>
    <w:p w14:paraId="50DF9A37" w14:textId="1FAB562B" w:rsidR="00FA17BB" w:rsidRDefault="00FA17BB" w:rsidP="00EC3FEC">
      <w:pPr>
        <w:pStyle w:val="Title2"/>
        <w:spacing w:before="0" w:after="120" w:line="24" w:lineRule="atLeast"/>
      </w:pPr>
      <w:bookmarkStart w:id="0" w:name="_Hlk153875399"/>
      <w:r>
        <w:t>Shifting from individual to collective impact</w:t>
      </w:r>
      <w:bookmarkEnd w:id="0"/>
    </w:p>
    <w:p w14:paraId="0B15656C" w14:textId="1E7CFF77" w:rsidR="00FA17BB" w:rsidRPr="00FA17BB" w:rsidRDefault="00FA17BB" w:rsidP="00EC3FEC">
      <w:pPr>
        <w:spacing w:line="24" w:lineRule="atLeast"/>
        <w:rPr>
          <w:rFonts w:cs="Arial"/>
        </w:rPr>
      </w:pPr>
      <w:r w:rsidRPr="00FA17BB">
        <w:rPr>
          <w:rFonts w:cs="Arial"/>
        </w:rPr>
        <w:t>Educational precincts provide the opportunity to move from individual school impact to collective school impact and allows the harnessing of the collective strengths of the local community to support equity and excellence for all students.</w:t>
      </w:r>
    </w:p>
    <w:p w14:paraId="1E2E1498" w14:textId="477FCB46" w:rsidR="00141765" w:rsidRPr="00141765" w:rsidRDefault="00FA17BB" w:rsidP="00EC3FEC">
      <w:pPr>
        <w:pStyle w:val="Heading3"/>
        <w:spacing w:before="0" w:line="24" w:lineRule="atLeast"/>
      </w:pPr>
      <w:r w:rsidRPr="00FA17BB">
        <w:t>Individual school impac</w:t>
      </w:r>
      <w:r>
        <w:t>t</w:t>
      </w:r>
    </w:p>
    <w:p w14:paraId="43E2C94D" w14:textId="7EBFC7C1" w:rsidR="00141765" w:rsidRDefault="00FA17BB" w:rsidP="00EC3FEC">
      <w:pPr>
        <w:spacing w:line="24" w:lineRule="atLeast"/>
        <w:rPr>
          <w:rFonts w:cs="Arial"/>
        </w:rPr>
      </w:pPr>
      <w:r w:rsidRPr="00FA17BB">
        <w:rPr>
          <w:rFonts w:cs="Arial"/>
        </w:rPr>
        <w:t>Schools operate individually and at times in competition, rather than in collaboration. Potential duplication of effort and limited sharing of practice. Impact limited to the students and teachers of the school.</w:t>
      </w:r>
    </w:p>
    <w:p w14:paraId="3ADC909D" w14:textId="7B9BA8D5" w:rsidR="00141765" w:rsidRDefault="00FA17BB" w:rsidP="00EC3FEC">
      <w:pPr>
        <w:pStyle w:val="Heading3"/>
        <w:spacing w:before="0" w:line="24" w:lineRule="atLeast"/>
      </w:pPr>
      <w:r w:rsidRPr="00FA17BB">
        <w:t>Clustered</w:t>
      </w:r>
      <w:r>
        <w:t xml:space="preserve"> </w:t>
      </w:r>
      <w:r w:rsidRPr="00FA17BB">
        <w:t>school impact</w:t>
      </w:r>
    </w:p>
    <w:p w14:paraId="49C5123C" w14:textId="0207852B" w:rsidR="004A0F10" w:rsidRPr="004A0F10" w:rsidRDefault="00FA17BB" w:rsidP="00EC3FEC">
      <w:pPr>
        <w:spacing w:line="24" w:lineRule="atLeast"/>
        <w:rPr>
          <w:rFonts w:cs="Arial"/>
        </w:rPr>
      </w:pPr>
      <w:r w:rsidRPr="00FA17BB">
        <w:rPr>
          <w:rFonts w:cs="Arial"/>
        </w:rPr>
        <w:t>Alignment of common challenges with an informal coordinated response formed on shared interests. Sharing of practice. Impacts across students, teachers and schools.</w:t>
      </w:r>
    </w:p>
    <w:p w14:paraId="4AFD24F1" w14:textId="321FD886" w:rsidR="004A0F10" w:rsidRDefault="00FA17BB" w:rsidP="00EC3FEC">
      <w:pPr>
        <w:pStyle w:val="Heading3"/>
        <w:spacing w:before="0" w:line="24" w:lineRule="atLeast"/>
      </w:pPr>
      <w:r w:rsidRPr="00FA17BB">
        <w:t>Collective school, precinct and system impact</w:t>
      </w:r>
    </w:p>
    <w:p w14:paraId="074FDCC1" w14:textId="173205EE" w:rsidR="004A0F10" w:rsidRDefault="00FA17BB" w:rsidP="00EC3FEC">
      <w:pPr>
        <w:spacing w:line="24" w:lineRule="atLeast"/>
        <w:rPr>
          <w:rFonts w:cs="Arial"/>
        </w:rPr>
      </w:pPr>
      <w:r w:rsidRPr="00FA17BB">
        <w:rPr>
          <w:rFonts w:cs="Arial"/>
        </w:rPr>
        <w:t>Collaborative approach centred on every school and student in the precinct excelling. Structured approach using collective planning and action to respond to local needs. Fosters continuous improvement and innovation for a whole of system impact and collective accountability</w:t>
      </w:r>
      <w:r w:rsidR="004A0F10" w:rsidRPr="004A0F10">
        <w:rPr>
          <w:rFonts w:cs="Arial"/>
        </w:rPr>
        <w:t>.</w:t>
      </w:r>
    </w:p>
    <w:p w14:paraId="751A3B13" w14:textId="05E13078" w:rsidR="00FA17BB" w:rsidRPr="00FA17BB" w:rsidRDefault="00FA17BB" w:rsidP="00EC3FEC">
      <w:pPr>
        <w:spacing w:line="24" w:lineRule="atLeast"/>
        <w:rPr>
          <w:rFonts w:cs="Arial"/>
          <w:bCs/>
          <w:sz w:val="36"/>
          <w:szCs w:val="40"/>
        </w:rPr>
      </w:pPr>
      <w:r>
        <w:rPr>
          <w:rFonts w:cs="Arial"/>
          <w:bCs/>
          <w:sz w:val="36"/>
          <w:szCs w:val="40"/>
        </w:rPr>
        <w:lastRenderedPageBreak/>
        <w:t>Elements of an integrated educational precinct</w:t>
      </w:r>
    </w:p>
    <w:p w14:paraId="2E0EC35B" w14:textId="50E3CAE9" w:rsidR="00526E5B" w:rsidRDefault="00053E11" w:rsidP="00EC3FEC">
      <w:pPr>
        <w:pStyle w:val="Heading3"/>
        <w:spacing w:before="0" w:line="24" w:lineRule="atLeast"/>
      </w:pPr>
      <w:r w:rsidRPr="00053E11">
        <w:t>Purpose</w:t>
      </w:r>
    </w:p>
    <w:p w14:paraId="7C16441F" w14:textId="77777777" w:rsidR="00053E11" w:rsidRPr="00053E11" w:rsidRDefault="00053E11" w:rsidP="00EC3FEC">
      <w:pPr>
        <w:spacing w:line="24" w:lineRule="atLeast"/>
        <w:rPr>
          <w:b/>
          <w:bCs/>
        </w:rPr>
      </w:pPr>
      <w:r w:rsidRPr="00053E11">
        <w:rPr>
          <w:b/>
          <w:bCs/>
        </w:rPr>
        <w:t>Why collective expertise, knowledge, effort and investment is needed.</w:t>
      </w:r>
    </w:p>
    <w:p w14:paraId="575EB57C" w14:textId="7D404D79" w:rsidR="00F60AE4" w:rsidRDefault="00053E11" w:rsidP="00EC3FEC">
      <w:pPr>
        <w:spacing w:line="24" w:lineRule="atLeast"/>
      </w:pPr>
      <w:r>
        <w:t>Educational precincts are initiated to respond to complex and often multi-faceted issues or problems of practice unique to their communities. They are an opportunity to partner across government, industry and the broader community in a structured way.</w:t>
      </w:r>
    </w:p>
    <w:p w14:paraId="376A6889" w14:textId="759BC0F4" w:rsidR="00FA5546" w:rsidRDefault="00053E11" w:rsidP="00EC3FEC">
      <w:pPr>
        <w:pStyle w:val="Heading3"/>
        <w:spacing w:before="0" w:line="24" w:lineRule="atLeast"/>
      </w:pPr>
      <w:r>
        <w:t>People</w:t>
      </w:r>
    </w:p>
    <w:p w14:paraId="06C8E5FE" w14:textId="77777777" w:rsidR="00053E11" w:rsidRPr="00053E11" w:rsidRDefault="00053E11" w:rsidP="00EC3FEC">
      <w:pPr>
        <w:spacing w:line="24" w:lineRule="atLeast"/>
        <w:rPr>
          <w:b/>
          <w:bCs/>
        </w:rPr>
      </w:pPr>
      <w:r w:rsidRPr="00053E11">
        <w:rPr>
          <w:b/>
          <w:bCs/>
        </w:rPr>
        <w:t xml:space="preserve">Who is involved in planning, designing and delivering the </w:t>
      </w:r>
      <w:proofErr w:type="gramStart"/>
      <w:r w:rsidRPr="00053E11">
        <w:rPr>
          <w:b/>
          <w:bCs/>
        </w:rPr>
        <w:t>response.</w:t>
      </w:r>
      <w:proofErr w:type="gramEnd"/>
    </w:p>
    <w:p w14:paraId="1BBEF54F" w14:textId="696B73FF" w:rsidR="00053E11" w:rsidRDefault="00053E11" w:rsidP="00EC3FEC">
      <w:pPr>
        <w:spacing w:line="24" w:lineRule="atLeast"/>
      </w:pPr>
      <w:r>
        <w:t>Precincts have a team dedicated to coordinating the work of the group of schools. To facilitate sustainable change, it is important that the right people are at the table –both those with the necessary knowledge, as well as the necessary decision-making authority.</w:t>
      </w:r>
    </w:p>
    <w:p w14:paraId="54C98452" w14:textId="7E4D8E5C" w:rsidR="00C05E87" w:rsidRDefault="00053E11" w:rsidP="00EC3FEC">
      <w:pPr>
        <w:pStyle w:val="Heading3"/>
        <w:spacing w:before="0" w:line="24" w:lineRule="atLeast"/>
      </w:pPr>
      <w:r w:rsidRPr="00053E11">
        <w:t>Practice</w:t>
      </w:r>
    </w:p>
    <w:p w14:paraId="27F8FBB4" w14:textId="77777777" w:rsidR="00053E11" w:rsidRPr="00053E11" w:rsidRDefault="00053E11" w:rsidP="00EC3FEC">
      <w:pPr>
        <w:spacing w:line="24" w:lineRule="atLeast"/>
        <w:rPr>
          <w:b/>
          <w:bCs/>
        </w:rPr>
      </w:pPr>
      <w:r w:rsidRPr="00053E11">
        <w:rPr>
          <w:b/>
          <w:bCs/>
        </w:rPr>
        <w:t>How a precinct communicates, plans and undertakes collective action.</w:t>
      </w:r>
    </w:p>
    <w:p w14:paraId="1FCA973B" w14:textId="15DCF040" w:rsidR="00135203" w:rsidRDefault="00053E11" w:rsidP="00EC3FEC">
      <w:pPr>
        <w:spacing w:line="24" w:lineRule="atLeast"/>
      </w:pPr>
      <w:r>
        <w:t>Precincts have response plans informed by effective planning. These plans outline collective responses and establish clear roles, accountability, agreed communication protocols, resourcing and actions to achieve the shared goals of the precinct. An essential part of the responses plan is outlining the data and evidence to be used to monitor and evaluate impact.</w:t>
      </w:r>
    </w:p>
    <w:p w14:paraId="03D49B76" w14:textId="5D79955D" w:rsidR="009E24EB" w:rsidRDefault="009E24EB" w:rsidP="00EC3FEC">
      <w:pPr>
        <w:pStyle w:val="Heading3"/>
        <w:spacing w:before="0" w:line="24" w:lineRule="atLeast"/>
      </w:pPr>
      <w:r>
        <w:t>Principles</w:t>
      </w:r>
    </w:p>
    <w:p w14:paraId="0E5CA25C" w14:textId="77777777" w:rsidR="009E24EB" w:rsidRPr="00053E11" w:rsidRDefault="009E24EB" w:rsidP="00EC3FEC">
      <w:pPr>
        <w:pStyle w:val="ListParagraph"/>
        <w:numPr>
          <w:ilvl w:val="0"/>
          <w:numId w:val="6"/>
        </w:numPr>
        <w:spacing w:after="120" w:line="24" w:lineRule="atLeast"/>
      </w:pPr>
      <w:r w:rsidRPr="00053E11">
        <w:t>Student and community centred</w:t>
      </w:r>
    </w:p>
    <w:p w14:paraId="12CD6882" w14:textId="77777777" w:rsidR="009E24EB" w:rsidRPr="00053E11" w:rsidRDefault="009E24EB" w:rsidP="00EC3FEC">
      <w:pPr>
        <w:pStyle w:val="ListParagraph"/>
        <w:numPr>
          <w:ilvl w:val="0"/>
          <w:numId w:val="6"/>
        </w:numPr>
        <w:spacing w:after="120" w:line="24" w:lineRule="atLeast"/>
      </w:pPr>
      <w:r w:rsidRPr="00053E11">
        <w:t>Collaborative and co-designed</w:t>
      </w:r>
    </w:p>
    <w:p w14:paraId="6D2F08D5" w14:textId="77777777" w:rsidR="009E24EB" w:rsidRPr="00053E11" w:rsidRDefault="009E24EB" w:rsidP="00EC3FEC">
      <w:pPr>
        <w:pStyle w:val="ListParagraph"/>
        <w:numPr>
          <w:ilvl w:val="0"/>
          <w:numId w:val="6"/>
        </w:numPr>
        <w:spacing w:after="120" w:line="24" w:lineRule="atLeast"/>
      </w:pPr>
      <w:r w:rsidRPr="00053E11">
        <w:t>Cross government responses</w:t>
      </w:r>
    </w:p>
    <w:p w14:paraId="4072C9C4" w14:textId="77777777" w:rsidR="009E24EB" w:rsidRPr="00053E11" w:rsidRDefault="009E24EB" w:rsidP="00EC3FEC">
      <w:pPr>
        <w:pStyle w:val="ListParagraph"/>
        <w:numPr>
          <w:ilvl w:val="0"/>
          <w:numId w:val="6"/>
        </w:numPr>
        <w:spacing w:after="120" w:line="24" w:lineRule="atLeast"/>
      </w:pPr>
      <w:r w:rsidRPr="00053E11">
        <w:t>Culturally respectful</w:t>
      </w:r>
    </w:p>
    <w:p w14:paraId="0EB33DBF" w14:textId="77777777" w:rsidR="009E24EB" w:rsidRPr="004A0F10" w:rsidRDefault="009E24EB" w:rsidP="00EC3FEC">
      <w:pPr>
        <w:pStyle w:val="ListParagraph"/>
        <w:numPr>
          <w:ilvl w:val="0"/>
          <w:numId w:val="6"/>
        </w:numPr>
        <w:spacing w:after="120" w:line="24" w:lineRule="atLeast"/>
      </w:pPr>
      <w:r w:rsidRPr="00053E11">
        <w:t>Evidence based</w:t>
      </w:r>
    </w:p>
    <w:p w14:paraId="4DDF3CAB" w14:textId="7B91A3F9" w:rsidR="00AE2D3C" w:rsidRDefault="00AE2D3C" w:rsidP="00EC3FEC">
      <w:pPr>
        <w:pStyle w:val="Heading3"/>
        <w:spacing w:before="0" w:line="24" w:lineRule="atLeast"/>
      </w:pPr>
    </w:p>
    <w:p w14:paraId="1D4C923A" w14:textId="1D927DD5" w:rsidR="00053E11" w:rsidRDefault="00053E11" w:rsidP="00EC3FEC">
      <w:pPr>
        <w:spacing w:line="24" w:lineRule="atLeast"/>
      </w:pPr>
    </w:p>
    <w:p w14:paraId="17F22827" w14:textId="3FFB167E" w:rsidR="00053E11" w:rsidRDefault="00053E11" w:rsidP="00EC3FEC">
      <w:pPr>
        <w:spacing w:line="24" w:lineRule="atLeast"/>
      </w:pPr>
    </w:p>
    <w:p w14:paraId="1E9AADB4" w14:textId="2F068245" w:rsidR="00053E11" w:rsidRDefault="00053E11" w:rsidP="00EC3FEC">
      <w:pPr>
        <w:spacing w:line="24" w:lineRule="atLeast"/>
      </w:pPr>
    </w:p>
    <w:p w14:paraId="27C06D88" w14:textId="1C36B36E" w:rsidR="00053E11" w:rsidRDefault="00053E11" w:rsidP="00EC3FEC">
      <w:pPr>
        <w:spacing w:line="24" w:lineRule="atLeast"/>
      </w:pPr>
    </w:p>
    <w:p w14:paraId="798E3F33" w14:textId="611B893A" w:rsidR="00053E11" w:rsidRDefault="00053E11" w:rsidP="00EC3FEC">
      <w:pPr>
        <w:spacing w:line="24" w:lineRule="atLeast"/>
      </w:pPr>
    </w:p>
    <w:p w14:paraId="786C6017" w14:textId="70AF5361" w:rsidR="00053E11" w:rsidRDefault="00053E11" w:rsidP="00EC3FEC">
      <w:pPr>
        <w:spacing w:line="24" w:lineRule="atLeast"/>
      </w:pPr>
    </w:p>
    <w:p w14:paraId="111EA85A" w14:textId="602D3EC3" w:rsidR="00053E11" w:rsidRDefault="00053E11" w:rsidP="00EC3FEC">
      <w:pPr>
        <w:spacing w:line="24" w:lineRule="atLeast"/>
      </w:pPr>
    </w:p>
    <w:p w14:paraId="42CDB647" w14:textId="68D689CC" w:rsidR="00053E11" w:rsidRDefault="00053E11" w:rsidP="00EC3FEC">
      <w:pPr>
        <w:spacing w:line="24" w:lineRule="atLeast"/>
      </w:pPr>
    </w:p>
    <w:p w14:paraId="0971464E" w14:textId="59A2E717" w:rsidR="00053E11" w:rsidRDefault="00053E11" w:rsidP="00EC3FEC">
      <w:pPr>
        <w:spacing w:line="24" w:lineRule="atLeast"/>
      </w:pPr>
    </w:p>
    <w:p w14:paraId="59884581" w14:textId="5BDF5222" w:rsidR="00053E11" w:rsidRDefault="00053E11" w:rsidP="00EC3FEC">
      <w:pPr>
        <w:spacing w:line="24" w:lineRule="atLeast"/>
      </w:pPr>
    </w:p>
    <w:p w14:paraId="215ECE40" w14:textId="4D1B364E" w:rsidR="00053E11" w:rsidRDefault="00053E11" w:rsidP="00EC3FEC">
      <w:pPr>
        <w:spacing w:line="24" w:lineRule="atLeast"/>
      </w:pPr>
    </w:p>
    <w:p w14:paraId="27FF2C00" w14:textId="0347B16E" w:rsidR="00053E11" w:rsidRDefault="00053E11" w:rsidP="00EC3FEC">
      <w:pPr>
        <w:spacing w:line="24" w:lineRule="atLeast"/>
      </w:pPr>
    </w:p>
    <w:p w14:paraId="706E69A1" w14:textId="56D726D2" w:rsidR="00053E11" w:rsidRDefault="00053E11" w:rsidP="00EC3FEC">
      <w:pPr>
        <w:spacing w:line="24" w:lineRule="atLeast"/>
      </w:pPr>
    </w:p>
    <w:p w14:paraId="16F93543" w14:textId="717CFF30" w:rsidR="00053E11" w:rsidRDefault="00053E11" w:rsidP="00EC3FEC">
      <w:pPr>
        <w:spacing w:line="24" w:lineRule="atLeast"/>
      </w:pPr>
    </w:p>
    <w:p w14:paraId="4509BD9F" w14:textId="0D547E30" w:rsidR="00053E11" w:rsidRPr="00FA17BB" w:rsidRDefault="00053E11" w:rsidP="00EC3FEC">
      <w:pPr>
        <w:spacing w:line="24" w:lineRule="atLeast"/>
        <w:rPr>
          <w:rFonts w:cs="Arial"/>
          <w:bCs/>
          <w:sz w:val="36"/>
          <w:szCs w:val="40"/>
        </w:rPr>
      </w:pPr>
      <w:r>
        <w:rPr>
          <w:rFonts w:cs="Arial"/>
          <w:bCs/>
          <w:sz w:val="36"/>
          <w:szCs w:val="40"/>
        </w:rPr>
        <w:lastRenderedPageBreak/>
        <w:t>Precinct categories and drivers</w:t>
      </w:r>
    </w:p>
    <w:p w14:paraId="38354161" w14:textId="021B48D1" w:rsidR="00053E11" w:rsidRDefault="00053E11" w:rsidP="00EC3FEC">
      <w:pPr>
        <w:pStyle w:val="Heading3"/>
        <w:spacing w:before="0" w:line="24" w:lineRule="atLeast"/>
      </w:pPr>
      <w:r w:rsidRPr="00053E11">
        <w:t>Defined geographical boundary</w:t>
      </w:r>
    </w:p>
    <w:p w14:paraId="6BC52DD9" w14:textId="689EFE6A" w:rsidR="00053E11" w:rsidRPr="00053E11" w:rsidRDefault="00053E11" w:rsidP="00EC3FEC">
      <w:pPr>
        <w:spacing w:line="24" w:lineRule="atLeast"/>
        <w:rPr>
          <w:b/>
          <w:bCs/>
          <w:sz w:val="24"/>
        </w:rPr>
      </w:pPr>
      <w:r w:rsidRPr="00053E11">
        <w:rPr>
          <w:b/>
          <w:bCs/>
          <w:sz w:val="24"/>
        </w:rPr>
        <w:t>Driver: Utilisation</w:t>
      </w:r>
      <w:r>
        <w:rPr>
          <w:b/>
          <w:bCs/>
          <w:sz w:val="24"/>
        </w:rPr>
        <w:t xml:space="preserve"> </w:t>
      </w:r>
      <w:r w:rsidRPr="00053E11">
        <w:rPr>
          <w:b/>
          <w:bCs/>
          <w:sz w:val="24"/>
        </w:rPr>
        <w:t>and disparity</w:t>
      </w:r>
    </w:p>
    <w:p w14:paraId="7A4F07B9" w14:textId="12F4D229" w:rsidR="00053E11" w:rsidRDefault="00053E11" w:rsidP="00EC3FEC">
      <w:pPr>
        <w:spacing w:line="24" w:lineRule="atLeast"/>
      </w:pPr>
      <w:r>
        <w:t>Maximise the collective impact of schools working together to address community needs, especially:</w:t>
      </w:r>
    </w:p>
    <w:p w14:paraId="1C8CCDCB" w14:textId="0ABC99E8" w:rsidR="00053E11" w:rsidRDefault="00053E11" w:rsidP="00EC3FEC">
      <w:pPr>
        <w:pStyle w:val="ListParagraph"/>
        <w:numPr>
          <w:ilvl w:val="0"/>
          <w:numId w:val="8"/>
        </w:numPr>
        <w:spacing w:after="120" w:line="24" w:lineRule="atLeast"/>
      </w:pPr>
      <w:r>
        <w:t>enrolment and growth planning</w:t>
      </w:r>
    </w:p>
    <w:p w14:paraId="318D30E3" w14:textId="576933AD" w:rsidR="00053E11" w:rsidRDefault="00053E11" w:rsidP="00EC3FEC">
      <w:pPr>
        <w:pStyle w:val="ListParagraph"/>
        <w:numPr>
          <w:ilvl w:val="0"/>
          <w:numId w:val="8"/>
        </w:numPr>
        <w:spacing w:after="120" w:line="24" w:lineRule="atLeast"/>
      </w:pPr>
      <w:r>
        <w:t>shared and targeted resourcing</w:t>
      </w:r>
    </w:p>
    <w:p w14:paraId="64DF3230" w14:textId="1414CB29" w:rsidR="00053E11" w:rsidRDefault="00053E11" w:rsidP="00EC3FEC">
      <w:pPr>
        <w:pStyle w:val="ListParagraph"/>
        <w:numPr>
          <w:ilvl w:val="0"/>
          <w:numId w:val="8"/>
        </w:numPr>
        <w:spacing w:after="120" w:line="24" w:lineRule="atLeast"/>
      </w:pPr>
      <w:r>
        <w:t>shared used of facilities</w:t>
      </w:r>
    </w:p>
    <w:p w14:paraId="350CCC40" w14:textId="5258109C" w:rsidR="00053E11" w:rsidRDefault="00053E11" w:rsidP="00EC3FEC">
      <w:pPr>
        <w:pStyle w:val="ListParagraph"/>
        <w:numPr>
          <w:ilvl w:val="0"/>
          <w:numId w:val="8"/>
        </w:numPr>
        <w:spacing w:after="120" w:line="24" w:lineRule="atLeast"/>
      </w:pPr>
      <w:r>
        <w:t>collaborative educational design and delivery</w:t>
      </w:r>
    </w:p>
    <w:p w14:paraId="11C87E02" w14:textId="762CEEFA" w:rsidR="00053E11" w:rsidRDefault="00053E11" w:rsidP="00EC3FEC">
      <w:pPr>
        <w:pStyle w:val="ListParagraph"/>
        <w:numPr>
          <w:ilvl w:val="0"/>
          <w:numId w:val="8"/>
        </w:numPr>
        <w:spacing w:after="120" w:line="24" w:lineRule="atLeast"/>
      </w:pPr>
      <w:r>
        <w:t>coordinated timetabling and curriculum options across school sites</w:t>
      </w:r>
    </w:p>
    <w:p w14:paraId="1E3DD464" w14:textId="5396D4D0" w:rsidR="00053E11" w:rsidRDefault="00053E11" w:rsidP="00EC3FEC">
      <w:pPr>
        <w:pStyle w:val="ListParagraph"/>
        <w:numPr>
          <w:ilvl w:val="0"/>
          <w:numId w:val="8"/>
        </w:numPr>
        <w:spacing w:after="120" w:line="24" w:lineRule="atLeast"/>
      </w:pPr>
      <w:r>
        <w:t>performance improvement.</w:t>
      </w:r>
    </w:p>
    <w:p w14:paraId="030F20B2" w14:textId="6515AEC1" w:rsidR="00053E11" w:rsidRDefault="00053E11" w:rsidP="00EC3FEC">
      <w:pPr>
        <w:pStyle w:val="Heading3"/>
        <w:spacing w:before="0" w:line="24" w:lineRule="atLeast"/>
      </w:pPr>
      <w:r w:rsidRPr="00053E11">
        <w:t>Partnerships and pathways</w:t>
      </w:r>
    </w:p>
    <w:p w14:paraId="76660F33" w14:textId="51097355" w:rsidR="00053E11" w:rsidRPr="00053E11" w:rsidRDefault="00053E11" w:rsidP="00EC3FEC">
      <w:pPr>
        <w:spacing w:line="24" w:lineRule="atLeast"/>
        <w:rPr>
          <w:b/>
          <w:bCs/>
          <w:sz w:val="24"/>
        </w:rPr>
      </w:pPr>
      <w:r w:rsidRPr="00053E11">
        <w:rPr>
          <w:b/>
          <w:bCs/>
          <w:sz w:val="24"/>
        </w:rPr>
        <w:t>Driver: Opportunity and innovation</w:t>
      </w:r>
    </w:p>
    <w:p w14:paraId="69C25393" w14:textId="77777777" w:rsidR="00053E11" w:rsidRDefault="00053E11" w:rsidP="00EC3FEC">
      <w:pPr>
        <w:spacing w:line="24" w:lineRule="atLeast"/>
      </w:pPr>
      <w:r>
        <w:t xml:space="preserve">Focus on identifying and </w:t>
      </w:r>
      <w:proofErr w:type="spellStart"/>
      <w:r>
        <w:t>trialing</w:t>
      </w:r>
      <w:proofErr w:type="spellEnd"/>
      <w:r>
        <w:t xml:space="preserve"> school-sector-community-industry-family-university partnerships to leverage:</w:t>
      </w:r>
    </w:p>
    <w:p w14:paraId="5F0D2636" w14:textId="77777777" w:rsidR="00053E11" w:rsidRDefault="00053E11" w:rsidP="00EC3FEC">
      <w:pPr>
        <w:pStyle w:val="ListParagraph"/>
        <w:numPr>
          <w:ilvl w:val="0"/>
          <w:numId w:val="8"/>
        </w:numPr>
        <w:spacing w:after="120" w:line="24" w:lineRule="atLeast"/>
      </w:pPr>
      <w:r>
        <w:t>alignment to system goals of Equity and Excellence</w:t>
      </w:r>
    </w:p>
    <w:p w14:paraId="167FD078" w14:textId="77777777" w:rsidR="00053E11" w:rsidRDefault="00053E11" w:rsidP="00EC3FEC">
      <w:pPr>
        <w:pStyle w:val="ListParagraph"/>
        <w:numPr>
          <w:ilvl w:val="0"/>
          <w:numId w:val="8"/>
        </w:numPr>
        <w:spacing w:after="120" w:line="24" w:lineRule="atLeast"/>
      </w:pPr>
      <w:r>
        <w:t>coordination of community partnerships that harness opportunities and drive innovation</w:t>
      </w:r>
    </w:p>
    <w:p w14:paraId="6B733552" w14:textId="5A3D9901" w:rsidR="00053E11" w:rsidRDefault="00053E11" w:rsidP="00EC3FEC">
      <w:pPr>
        <w:pStyle w:val="ListParagraph"/>
        <w:numPr>
          <w:ilvl w:val="0"/>
          <w:numId w:val="8"/>
        </w:numPr>
        <w:spacing w:after="120" w:line="24" w:lineRule="atLeast"/>
      </w:pPr>
      <w:r>
        <w:t>teaching, technology, curriculum and pathways to meet student and community needs.</w:t>
      </w:r>
    </w:p>
    <w:p w14:paraId="1E2B4AD6" w14:textId="446FC064" w:rsidR="00053E11" w:rsidRDefault="00053E11" w:rsidP="00EC3FEC">
      <w:pPr>
        <w:pStyle w:val="Heading3"/>
        <w:spacing w:before="0" w:line="24" w:lineRule="atLeast"/>
      </w:pPr>
      <w:r w:rsidRPr="00053E11">
        <w:t>Complex community</w:t>
      </w:r>
    </w:p>
    <w:p w14:paraId="7DE2BAC5" w14:textId="0D77C5C9" w:rsidR="00053E11" w:rsidRPr="00053E11" w:rsidRDefault="00053E11" w:rsidP="00EC3FEC">
      <w:pPr>
        <w:spacing w:line="24" w:lineRule="atLeast"/>
        <w:rPr>
          <w:b/>
          <w:bCs/>
          <w:sz w:val="24"/>
        </w:rPr>
      </w:pPr>
      <w:r w:rsidRPr="00053E11">
        <w:rPr>
          <w:b/>
          <w:bCs/>
          <w:sz w:val="24"/>
        </w:rPr>
        <w:t>Driver: Interagency collaboration</w:t>
      </w:r>
    </w:p>
    <w:p w14:paraId="6D339A35" w14:textId="342C3418" w:rsidR="00053E11" w:rsidRDefault="00053E11" w:rsidP="00EC3FEC">
      <w:pPr>
        <w:spacing w:line="24" w:lineRule="atLeast"/>
      </w:pPr>
      <w:r>
        <w:t>Coordination of collaborative practices to address community needs through:</w:t>
      </w:r>
    </w:p>
    <w:p w14:paraId="47996990" w14:textId="43AAF9F2" w:rsidR="00053E11" w:rsidRDefault="00053E11" w:rsidP="00EC3FEC">
      <w:pPr>
        <w:pStyle w:val="ListParagraph"/>
        <w:numPr>
          <w:ilvl w:val="0"/>
          <w:numId w:val="8"/>
        </w:numPr>
        <w:spacing w:after="120" w:line="24" w:lineRule="atLeast"/>
      </w:pPr>
      <w:r>
        <w:t>schools working together with a focus on partnerships and case-management for family support</w:t>
      </w:r>
    </w:p>
    <w:p w14:paraId="65FD7886" w14:textId="659607FC" w:rsidR="00053E11" w:rsidRDefault="00053E11" w:rsidP="00EC3FEC">
      <w:pPr>
        <w:pStyle w:val="ListParagraph"/>
        <w:numPr>
          <w:ilvl w:val="0"/>
          <w:numId w:val="8"/>
        </w:numPr>
        <w:spacing w:after="120" w:line="24" w:lineRule="atLeast"/>
      </w:pPr>
      <w:r>
        <w:t>a focus on collaborative approaches to transitions and pathways for young people</w:t>
      </w:r>
    </w:p>
    <w:p w14:paraId="1B95797C" w14:textId="42FEDEE2" w:rsidR="00053E11" w:rsidRDefault="00053E11" w:rsidP="00EC3FEC">
      <w:pPr>
        <w:pStyle w:val="ListParagraph"/>
        <w:numPr>
          <w:ilvl w:val="0"/>
          <w:numId w:val="8"/>
        </w:numPr>
        <w:spacing w:after="120" w:line="24" w:lineRule="atLeast"/>
      </w:pPr>
      <w:r>
        <w:t>government agency coordinated priorities and responses (may harness existing groups or committees)</w:t>
      </w:r>
    </w:p>
    <w:p w14:paraId="4D6779FA" w14:textId="7B3E8D62" w:rsidR="00053E11" w:rsidRDefault="00053E11" w:rsidP="00EC3FEC">
      <w:pPr>
        <w:pStyle w:val="ListParagraph"/>
        <w:numPr>
          <w:ilvl w:val="0"/>
          <w:numId w:val="8"/>
        </w:numPr>
        <w:spacing w:after="120" w:line="24" w:lineRule="atLeast"/>
      </w:pPr>
      <w:r>
        <w:t>shared accountability, collaboration and oversight by senior leadership</w:t>
      </w:r>
    </w:p>
    <w:p w14:paraId="6E6EE81F" w14:textId="1116A65B" w:rsidR="00310BF6" w:rsidRDefault="00053E11" w:rsidP="00EC3FEC">
      <w:pPr>
        <w:pStyle w:val="Heading3"/>
        <w:spacing w:before="0" w:line="24" w:lineRule="atLeast"/>
      </w:pPr>
      <w:r w:rsidRPr="00053E11">
        <w:t>Key features</w:t>
      </w:r>
    </w:p>
    <w:p w14:paraId="016BEE3D" w14:textId="40735632" w:rsidR="00053E11" w:rsidRDefault="00053E11" w:rsidP="00EC3FEC">
      <w:pPr>
        <w:spacing w:line="24" w:lineRule="atLeast"/>
      </w:pPr>
      <w:r>
        <w:t>Key features of an educational precinct include:</w:t>
      </w:r>
    </w:p>
    <w:p w14:paraId="0D10A7CC" w14:textId="134CCAA7" w:rsidR="00053E11" w:rsidRDefault="00053E11" w:rsidP="00EC3FEC">
      <w:pPr>
        <w:pStyle w:val="ListParagraph"/>
        <w:numPr>
          <w:ilvl w:val="0"/>
          <w:numId w:val="8"/>
        </w:numPr>
        <w:spacing w:after="120" w:line="24" w:lineRule="atLeast"/>
      </w:pPr>
      <w:r>
        <w:t>a shared understanding of challenges impacting the precinct</w:t>
      </w:r>
    </w:p>
    <w:p w14:paraId="0F58CAFF" w14:textId="35C637D8" w:rsidR="00053E11" w:rsidRDefault="00053E11" w:rsidP="00EC3FEC">
      <w:pPr>
        <w:pStyle w:val="ListParagraph"/>
        <w:numPr>
          <w:ilvl w:val="0"/>
          <w:numId w:val="8"/>
        </w:numPr>
        <w:spacing w:after="120" w:line="24" w:lineRule="atLeast"/>
      </w:pPr>
      <w:r>
        <w:t>dedicated resourcing, including a precinct facilitator (Senior Principal) to coordinate collective planning and support the ‘backbone’ team to monitor the precinct’s impact over time</w:t>
      </w:r>
    </w:p>
    <w:p w14:paraId="5AC5EA79" w14:textId="6C4C8596" w:rsidR="00053E11" w:rsidRDefault="00053E11" w:rsidP="00EC3FEC">
      <w:pPr>
        <w:pStyle w:val="ListParagraph"/>
        <w:numPr>
          <w:ilvl w:val="0"/>
          <w:numId w:val="8"/>
        </w:numPr>
        <w:spacing w:after="120" w:line="24" w:lineRule="atLeast"/>
      </w:pPr>
      <w:r>
        <w:t>backbone support team to maintain momentum</w:t>
      </w:r>
    </w:p>
    <w:p w14:paraId="0AE6097B" w14:textId="0735414E" w:rsidR="00053E11" w:rsidRDefault="00053E11" w:rsidP="00EC3FEC">
      <w:pPr>
        <w:pStyle w:val="ListParagraph"/>
        <w:numPr>
          <w:ilvl w:val="0"/>
          <w:numId w:val="8"/>
        </w:numPr>
        <w:spacing w:after="120" w:line="24" w:lineRule="atLeast"/>
      </w:pPr>
      <w:r>
        <w:t>formalised precinct establishment and governance</w:t>
      </w:r>
    </w:p>
    <w:p w14:paraId="2CC1F7D0" w14:textId="0874DC83" w:rsidR="00053E11" w:rsidRDefault="00053E11" w:rsidP="00EC3FEC">
      <w:pPr>
        <w:pStyle w:val="ListParagraph"/>
        <w:numPr>
          <w:ilvl w:val="0"/>
          <w:numId w:val="8"/>
        </w:numPr>
        <w:spacing w:after="120" w:line="24" w:lineRule="atLeast"/>
      </w:pPr>
      <w:r>
        <w:t>a focus on partnerships and bringing together key stakeholders</w:t>
      </w:r>
    </w:p>
    <w:p w14:paraId="206A6487" w14:textId="329D9B6C" w:rsidR="00053E11" w:rsidRDefault="00053E11" w:rsidP="00EC3FEC">
      <w:pPr>
        <w:pStyle w:val="ListParagraph"/>
        <w:numPr>
          <w:ilvl w:val="0"/>
          <w:numId w:val="8"/>
        </w:numPr>
        <w:spacing w:after="120" w:line="24" w:lineRule="atLeast"/>
      </w:pPr>
      <w:r>
        <w:t>whole-of-government responses</w:t>
      </w:r>
    </w:p>
    <w:p w14:paraId="71B3640D" w14:textId="0A63CA1C" w:rsidR="003F5CE6" w:rsidRDefault="00053E11" w:rsidP="00EC3FEC">
      <w:pPr>
        <w:pStyle w:val="ListParagraph"/>
        <w:numPr>
          <w:ilvl w:val="0"/>
          <w:numId w:val="8"/>
        </w:numPr>
        <w:spacing w:after="120" w:line="24" w:lineRule="atLeast"/>
      </w:pPr>
      <w:r>
        <w:t>data-and evidence-informed, with shared monitoring systems.</w:t>
      </w:r>
    </w:p>
    <w:sectPr w:rsidR="003F5CE6" w:rsidSect="00AD519F">
      <w:headerReference w:type="default" r:id="rId11"/>
      <w:footerReference w:type="default" r:id="rId12"/>
      <w:headerReference w:type="first" r:id="rId13"/>
      <w:footerReference w:type="first" r:id="rId14"/>
      <w:pgSz w:w="11900" w:h="16840" w:code="9"/>
      <w:pgMar w:top="1077" w:right="1077" w:bottom="1077" w:left="1077" w:header="1021"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61A8" w14:textId="77777777" w:rsidR="00525349" w:rsidRDefault="00525349" w:rsidP="00190C24">
      <w:r>
        <w:separator/>
      </w:r>
    </w:p>
  </w:endnote>
  <w:endnote w:type="continuationSeparator" w:id="0">
    <w:p w14:paraId="2972B604" w14:textId="77777777" w:rsidR="00525349" w:rsidRDefault="0052534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etaOT-Norm">
    <w:altName w:val="Cambria"/>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508542"/>
      <w:docPartObj>
        <w:docPartGallery w:val="Page Numbers (Bottom of Page)"/>
        <w:docPartUnique/>
      </w:docPartObj>
    </w:sdtPr>
    <w:sdtEndPr>
      <w:rPr>
        <w:noProof/>
      </w:rPr>
    </w:sdtEndPr>
    <w:sdtContent>
      <w:p w14:paraId="592B378E" w14:textId="40FF8097" w:rsidR="00870D57" w:rsidRDefault="00870D57">
        <w:pPr>
          <w:pStyle w:val="Footer"/>
        </w:pPr>
        <w:r>
          <w:fldChar w:fldCharType="begin"/>
        </w:r>
        <w:r>
          <w:instrText xml:space="preserve"> PAGE   \* MERGEFORMAT </w:instrText>
        </w:r>
        <w:r>
          <w:fldChar w:fldCharType="separate"/>
        </w:r>
        <w:r>
          <w:rPr>
            <w:noProof/>
          </w:rPr>
          <w:t>2</w:t>
        </w:r>
        <w:r>
          <w:rPr>
            <w:noProof/>
          </w:rPr>
          <w:fldChar w:fldCharType="end"/>
        </w:r>
        <w:r>
          <w:t xml:space="preserve"> | </w:t>
        </w:r>
        <w:r w:rsidR="00417362">
          <w:t>Educational precincts</w:t>
        </w:r>
        <w:r w:rsidR="00E8507C">
          <w:t xml:space="preserve"> – Accessible version of placemat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DC67" w14:textId="5BA2747B" w:rsidR="00870D57" w:rsidRPr="00FB6249" w:rsidRDefault="00870D57" w:rsidP="00FB6249">
    <w:pPr>
      <w:pStyle w:val="Footer"/>
      <w:jc w:val="center"/>
      <w:rPr>
        <w:rFonts w:cs="Arial"/>
        <w:color w:val="FF0000"/>
        <w:sz w:val="24"/>
      </w:rPr>
    </w:pPr>
    <w:r>
      <w:rPr>
        <w:noProof/>
        <w:lang w:eastAsia="en-AU"/>
      </w:rPr>
      <w:drawing>
        <wp:anchor distT="0" distB="0" distL="114300" distR="114300" simplePos="0" relativeHeight="251661312" behindDoc="1" locked="0" layoutInCell="1" allowOverlap="1" wp14:anchorId="468619E6" wp14:editId="74536CCE">
          <wp:simplePos x="0" y="0"/>
          <wp:positionH relativeFrom="page">
            <wp:posOffset>0</wp:posOffset>
          </wp:positionH>
          <wp:positionV relativeFrom="page">
            <wp:posOffset>9760687</wp:posOffset>
          </wp:positionV>
          <wp:extent cx="7559675" cy="933125"/>
          <wp:effectExtent l="0" t="0" r="3175" b="635"/>
          <wp:wrapNone/>
          <wp:docPr id="3" name="Picture 3" descr="Queensland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 A4 portrait booklet footer.jpg"/>
                  <pic:cNvPicPr/>
                </pic:nvPicPr>
                <pic:blipFill rotWithShape="1">
                  <a:blip r:embed="rId1">
                    <a:extLst>
                      <a:ext uri="{28A0092B-C50C-407E-A947-70E740481C1C}">
                        <a14:useLocalDpi xmlns:a14="http://schemas.microsoft.com/office/drawing/2010/main" val="0"/>
                      </a:ext>
                    </a:extLst>
                  </a:blip>
                  <a:srcRect t="89909"/>
                  <a:stretch/>
                </pic:blipFill>
                <pic:spPr bwMode="auto">
                  <a:xfrm>
                    <a:off x="0" y="0"/>
                    <a:ext cx="7559675" cy="93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C8BD" w14:textId="77777777" w:rsidR="00525349" w:rsidRDefault="00525349" w:rsidP="00190C24">
      <w:r>
        <w:separator/>
      </w:r>
    </w:p>
  </w:footnote>
  <w:footnote w:type="continuationSeparator" w:id="0">
    <w:p w14:paraId="4159B159" w14:textId="77777777" w:rsidR="00525349" w:rsidRDefault="0052534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5C95" w14:textId="27A53586" w:rsidR="00870D57" w:rsidRPr="00FB6249" w:rsidRDefault="00E8507C" w:rsidP="00F11985">
    <w:pPr>
      <w:pStyle w:val="Footer"/>
      <w:rPr>
        <w:rFonts w:cs="Arial"/>
        <w:color w:val="FF0000"/>
        <w:sz w:val="24"/>
      </w:rPr>
    </w:pPr>
    <w:r>
      <w:rPr>
        <w:noProof/>
        <w:lang w:eastAsia="en-AU"/>
      </w:rPr>
      <w:drawing>
        <wp:anchor distT="0" distB="0" distL="114300" distR="114300" simplePos="0" relativeHeight="251663360" behindDoc="1" locked="0" layoutInCell="1" allowOverlap="1" wp14:anchorId="08031346" wp14:editId="28E1A6FB">
          <wp:simplePos x="0" y="0"/>
          <wp:positionH relativeFrom="page">
            <wp:posOffset>-26582</wp:posOffset>
          </wp:positionH>
          <wp:positionV relativeFrom="page">
            <wp:posOffset>24278</wp:posOffset>
          </wp:positionV>
          <wp:extent cx="7560000" cy="504000"/>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igenous Educaiton A4 booklet-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B0D6" w14:textId="5A3F7D45" w:rsidR="00870D57" w:rsidRDefault="00E8507C">
    <w:pPr>
      <w:pStyle w:val="Header"/>
    </w:pPr>
    <w:r>
      <w:t>Accessible version of placemat</w:t>
    </w:r>
    <w:r>
      <w:rPr>
        <w:noProof/>
        <w:lang w:eastAsia="en-AU"/>
      </w:rPr>
      <w:t xml:space="preserve"> </w:t>
    </w:r>
    <w:r w:rsidR="00870D57">
      <w:rPr>
        <w:noProof/>
        <w:lang w:eastAsia="en-AU"/>
      </w:rPr>
      <w:drawing>
        <wp:anchor distT="0" distB="0" distL="114300" distR="114300" simplePos="0" relativeHeight="251660288" behindDoc="1" locked="0" layoutInCell="1" allowOverlap="1" wp14:anchorId="05DABBD8" wp14:editId="05203979">
          <wp:simplePos x="0" y="0"/>
          <wp:positionH relativeFrom="page">
            <wp:align>left</wp:align>
          </wp:positionH>
          <wp:positionV relativeFrom="page">
            <wp:align>top</wp:align>
          </wp:positionV>
          <wp:extent cx="7560000" cy="504000"/>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igenous Educaiton A4 booklet-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9C8"/>
    <w:multiLevelType w:val="hybridMultilevel"/>
    <w:tmpl w:val="031462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82D90"/>
    <w:multiLevelType w:val="hybridMultilevel"/>
    <w:tmpl w:val="6742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10A09"/>
    <w:multiLevelType w:val="hybridMultilevel"/>
    <w:tmpl w:val="4BE86612"/>
    <w:lvl w:ilvl="0" w:tplc="0C090001">
      <w:start w:val="1"/>
      <w:numFmt w:val="bullet"/>
      <w:lvlText w:val=""/>
      <w:lvlJc w:val="left"/>
      <w:pPr>
        <w:ind w:left="-212" w:hanging="360"/>
      </w:pPr>
      <w:rPr>
        <w:rFonts w:ascii="Symbol" w:hAnsi="Symbol" w:hint="default"/>
      </w:rPr>
    </w:lvl>
    <w:lvl w:ilvl="1" w:tplc="0C090003" w:tentative="1">
      <w:start w:val="1"/>
      <w:numFmt w:val="bullet"/>
      <w:lvlText w:val="o"/>
      <w:lvlJc w:val="left"/>
      <w:pPr>
        <w:ind w:left="508" w:hanging="360"/>
      </w:pPr>
      <w:rPr>
        <w:rFonts w:ascii="Courier New" w:hAnsi="Courier New" w:cs="Courier New" w:hint="default"/>
      </w:rPr>
    </w:lvl>
    <w:lvl w:ilvl="2" w:tplc="0C090005" w:tentative="1">
      <w:start w:val="1"/>
      <w:numFmt w:val="bullet"/>
      <w:lvlText w:val=""/>
      <w:lvlJc w:val="left"/>
      <w:pPr>
        <w:ind w:left="1228" w:hanging="360"/>
      </w:pPr>
      <w:rPr>
        <w:rFonts w:ascii="Wingdings" w:hAnsi="Wingdings" w:hint="default"/>
      </w:rPr>
    </w:lvl>
    <w:lvl w:ilvl="3" w:tplc="0C090001" w:tentative="1">
      <w:start w:val="1"/>
      <w:numFmt w:val="bullet"/>
      <w:lvlText w:val=""/>
      <w:lvlJc w:val="left"/>
      <w:pPr>
        <w:ind w:left="1948" w:hanging="360"/>
      </w:pPr>
      <w:rPr>
        <w:rFonts w:ascii="Symbol" w:hAnsi="Symbol" w:hint="default"/>
      </w:rPr>
    </w:lvl>
    <w:lvl w:ilvl="4" w:tplc="0C090003" w:tentative="1">
      <w:start w:val="1"/>
      <w:numFmt w:val="bullet"/>
      <w:lvlText w:val="o"/>
      <w:lvlJc w:val="left"/>
      <w:pPr>
        <w:ind w:left="2668" w:hanging="360"/>
      </w:pPr>
      <w:rPr>
        <w:rFonts w:ascii="Courier New" w:hAnsi="Courier New" w:cs="Courier New" w:hint="default"/>
      </w:rPr>
    </w:lvl>
    <w:lvl w:ilvl="5" w:tplc="0C090005" w:tentative="1">
      <w:start w:val="1"/>
      <w:numFmt w:val="bullet"/>
      <w:lvlText w:val=""/>
      <w:lvlJc w:val="left"/>
      <w:pPr>
        <w:ind w:left="3388" w:hanging="360"/>
      </w:pPr>
      <w:rPr>
        <w:rFonts w:ascii="Wingdings" w:hAnsi="Wingdings" w:hint="default"/>
      </w:rPr>
    </w:lvl>
    <w:lvl w:ilvl="6" w:tplc="0C090001" w:tentative="1">
      <w:start w:val="1"/>
      <w:numFmt w:val="bullet"/>
      <w:lvlText w:val=""/>
      <w:lvlJc w:val="left"/>
      <w:pPr>
        <w:ind w:left="4108" w:hanging="360"/>
      </w:pPr>
      <w:rPr>
        <w:rFonts w:ascii="Symbol" w:hAnsi="Symbol" w:hint="default"/>
      </w:rPr>
    </w:lvl>
    <w:lvl w:ilvl="7" w:tplc="0C090003" w:tentative="1">
      <w:start w:val="1"/>
      <w:numFmt w:val="bullet"/>
      <w:lvlText w:val="o"/>
      <w:lvlJc w:val="left"/>
      <w:pPr>
        <w:ind w:left="4828" w:hanging="360"/>
      </w:pPr>
      <w:rPr>
        <w:rFonts w:ascii="Courier New" w:hAnsi="Courier New" w:cs="Courier New" w:hint="default"/>
      </w:rPr>
    </w:lvl>
    <w:lvl w:ilvl="8" w:tplc="0C090005" w:tentative="1">
      <w:start w:val="1"/>
      <w:numFmt w:val="bullet"/>
      <w:lvlText w:val=""/>
      <w:lvlJc w:val="left"/>
      <w:pPr>
        <w:ind w:left="5548" w:hanging="360"/>
      </w:pPr>
      <w:rPr>
        <w:rFonts w:ascii="Wingdings" w:hAnsi="Wingdings" w:hint="default"/>
      </w:rPr>
    </w:lvl>
  </w:abstractNum>
  <w:abstractNum w:abstractNumId="3" w15:restartNumberingAfterBreak="0">
    <w:nsid w:val="0B113753"/>
    <w:multiLevelType w:val="hybridMultilevel"/>
    <w:tmpl w:val="7A080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A2905"/>
    <w:multiLevelType w:val="hybridMultilevel"/>
    <w:tmpl w:val="BE6E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5C275E"/>
    <w:multiLevelType w:val="hybridMultilevel"/>
    <w:tmpl w:val="12C6AA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8E1C21"/>
    <w:multiLevelType w:val="hybridMultilevel"/>
    <w:tmpl w:val="740A39B0"/>
    <w:lvl w:ilvl="0" w:tplc="80D27974">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37865F92"/>
    <w:multiLevelType w:val="hybridMultilevel"/>
    <w:tmpl w:val="40488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175668"/>
    <w:multiLevelType w:val="hybridMultilevel"/>
    <w:tmpl w:val="333C0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B81F0A"/>
    <w:multiLevelType w:val="hybridMultilevel"/>
    <w:tmpl w:val="4D7E4516"/>
    <w:lvl w:ilvl="0" w:tplc="DE0E6FE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8065D61"/>
    <w:multiLevelType w:val="hybridMultilevel"/>
    <w:tmpl w:val="1FF8B77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456D5E"/>
    <w:multiLevelType w:val="hybridMultilevel"/>
    <w:tmpl w:val="095EDC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885CA5"/>
    <w:multiLevelType w:val="hybridMultilevel"/>
    <w:tmpl w:val="C36A6BCE"/>
    <w:lvl w:ilvl="0" w:tplc="0C090001">
      <w:start w:val="1"/>
      <w:numFmt w:val="bullet"/>
      <w:lvlText w:val=""/>
      <w:lvlJc w:val="left"/>
      <w:pPr>
        <w:ind w:left="720" w:hanging="360"/>
      </w:pPr>
      <w:rPr>
        <w:rFonts w:ascii="Symbol" w:hAnsi="Symbol" w:hint="default"/>
      </w:rPr>
    </w:lvl>
    <w:lvl w:ilvl="1" w:tplc="0DEA0CB0">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0239F"/>
    <w:multiLevelType w:val="hybridMultilevel"/>
    <w:tmpl w:val="71C27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76405E"/>
    <w:multiLevelType w:val="hybridMultilevel"/>
    <w:tmpl w:val="2818A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8315FD"/>
    <w:multiLevelType w:val="hybridMultilevel"/>
    <w:tmpl w:val="70A04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824AD5"/>
    <w:multiLevelType w:val="hybridMultilevel"/>
    <w:tmpl w:val="118C65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874262"/>
    <w:multiLevelType w:val="hybridMultilevel"/>
    <w:tmpl w:val="D8967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DE7986"/>
    <w:multiLevelType w:val="hybridMultilevel"/>
    <w:tmpl w:val="D0C2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8"/>
  </w:num>
  <w:num w:numId="6">
    <w:abstractNumId w:val="14"/>
  </w:num>
  <w:num w:numId="7">
    <w:abstractNumId w:val="7"/>
  </w:num>
  <w:num w:numId="8">
    <w:abstractNumId w:val="15"/>
  </w:num>
  <w:num w:numId="9">
    <w:abstractNumId w:val="12"/>
  </w:num>
  <w:num w:numId="10">
    <w:abstractNumId w:val="2"/>
  </w:num>
  <w:num w:numId="11">
    <w:abstractNumId w:val="10"/>
  </w:num>
  <w:num w:numId="12">
    <w:abstractNumId w:val="4"/>
  </w:num>
  <w:num w:numId="13">
    <w:abstractNumId w:val="16"/>
  </w:num>
  <w:num w:numId="14">
    <w:abstractNumId w:val="5"/>
  </w:num>
  <w:num w:numId="15">
    <w:abstractNumId w:val="0"/>
  </w:num>
  <w:num w:numId="16">
    <w:abstractNumId w:val="11"/>
  </w:num>
  <w:num w:numId="17">
    <w:abstractNumId w:val="18"/>
  </w:num>
  <w:num w:numId="18">
    <w:abstractNumId w:val="9"/>
  </w:num>
  <w:num w:numId="19">
    <w:abstractNumId w:val="9"/>
  </w:num>
  <w:num w:numId="20">
    <w:abstractNumId w:val="9"/>
  </w:num>
  <w:num w:numId="21">
    <w:abstractNumId w:val="9"/>
  </w:num>
  <w:num w:numId="22">
    <w:abstractNumId w:val="9"/>
  </w:num>
  <w:num w:numId="23">
    <w:abstractNumId w:val="13"/>
  </w:num>
  <w:num w:numId="24">
    <w:abstractNumId w:val="17"/>
  </w:num>
  <w:num w:numId="25">
    <w:abstractNumId w:val="9"/>
  </w:num>
  <w:num w:numId="26">
    <w:abstractNumId w:val="9"/>
  </w:num>
  <w:num w:numId="2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BB"/>
    <w:rsid w:val="000156FC"/>
    <w:rsid w:val="0002155B"/>
    <w:rsid w:val="0003551D"/>
    <w:rsid w:val="00040463"/>
    <w:rsid w:val="00042183"/>
    <w:rsid w:val="000425F7"/>
    <w:rsid w:val="000436FC"/>
    <w:rsid w:val="00046CB1"/>
    <w:rsid w:val="00053E11"/>
    <w:rsid w:val="00071656"/>
    <w:rsid w:val="0007392C"/>
    <w:rsid w:val="00077991"/>
    <w:rsid w:val="000803BD"/>
    <w:rsid w:val="0009591E"/>
    <w:rsid w:val="000B61AC"/>
    <w:rsid w:val="000E6290"/>
    <w:rsid w:val="000F6AAC"/>
    <w:rsid w:val="000F7FDE"/>
    <w:rsid w:val="00101609"/>
    <w:rsid w:val="00103556"/>
    <w:rsid w:val="001154E1"/>
    <w:rsid w:val="0012187F"/>
    <w:rsid w:val="00135203"/>
    <w:rsid w:val="00140D3A"/>
    <w:rsid w:val="00141765"/>
    <w:rsid w:val="00177EEA"/>
    <w:rsid w:val="00180B02"/>
    <w:rsid w:val="001825AF"/>
    <w:rsid w:val="001837AB"/>
    <w:rsid w:val="00190C24"/>
    <w:rsid w:val="001A4885"/>
    <w:rsid w:val="001B0A05"/>
    <w:rsid w:val="001C4AAF"/>
    <w:rsid w:val="00203BC7"/>
    <w:rsid w:val="0021603C"/>
    <w:rsid w:val="002371F7"/>
    <w:rsid w:val="002448D7"/>
    <w:rsid w:val="00255158"/>
    <w:rsid w:val="0028251F"/>
    <w:rsid w:val="00282EB8"/>
    <w:rsid w:val="002859B3"/>
    <w:rsid w:val="002A2134"/>
    <w:rsid w:val="002A4DD9"/>
    <w:rsid w:val="002B4506"/>
    <w:rsid w:val="002C22F4"/>
    <w:rsid w:val="002D03C8"/>
    <w:rsid w:val="002D7186"/>
    <w:rsid w:val="002E749D"/>
    <w:rsid w:val="002F21E7"/>
    <w:rsid w:val="002F78A2"/>
    <w:rsid w:val="00305699"/>
    <w:rsid w:val="00310BF6"/>
    <w:rsid w:val="003200FC"/>
    <w:rsid w:val="00332F50"/>
    <w:rsid w:val="00341B9A"/>
    <w:rsid w:val="003521F9"/>
    <w:rsid w:val="00360E04"/>
    <w:rsid w:val="003660E5"/>
    <w:rsid w:val="00367271"/>
    <w:rsid w:val="003739D6"/>
    <w:rsid w:val="0037565F"/>
    <w:rsid w:val="00375A2D"/>
    <w:rsid w:val="00385A56"/>
    <w:rsid w:val="00386B32"/>
    <w:rsid w:val="00396E1F"/>
    <w:rsid w:val="003974C4"/>
    <w:rsid w:val="003B1586"/>
    <w:rsid w:val="003B3113"/>
    <w:rsid w:val="003C06B6"/>
    <w:rsid w:val="003D3334"/>
    <w:rsid w:val="003D7CD6"/>
    <w:rsid w:val="003F5CE6"/>
    <w:rsid w:val="003F643A"/>
    <w:rsid w:val="003F7145"/>
    <w:rsid w:val="00404BCA"/>
    <w:rsid w:val="00417362"/>
    <w:rsid w:val="004338B4"/>
    <w:rsid w:val="004534D5"/>
    <w:rsid w:val="00471E8B"/>
    <w:rsid w:val="00492DA7"/>
    <w:rsid w:val="004A0F10"/>
    <w:rsid w:val="004B23FB"/>
    <w:rsid w:val="004E00F9"/>
    <w:rsid w:val="00500897"/>
    <w:rsid w:val="00524C18"/>
    <w:rsid w:val="00525349"/>
    <w:rsid w:val="00526506"/>
    <w:rsid w:val="00526E5B"/>
    <w:rsid w:val="005601DB"/>
    <w:rsid w:val="00563C38"/>
    <w:rsid w:val="00591388"/>
    <w:rsid w:val="005B5762"/>
    <w:rsid w:val="005C3C70"/>
    <w:rsid w:val="005C6F76"/>
    <w:rsid w:val="005F4331"/>
    <w:rsid w:val="00604507"/>
    <w:rsid w:val="0060638A"/>
    <w:rsid w:val="006239A5"/>
    <w:rsid w:val="00636B71"/>
    <w:rsid w:val="00660B50"/>
    <w:rsid w:val="00674331"/>
    <w:rsid w:val="00681431"/>
    <w:rsid w:val="006824B2"/>
    <w:rsid w:val="00692429"/>
    <w:rsid w:val="006A7380"/>
    <w:rsid w:val="006C3D8E"/>
    <w:rsid w:val="006E1BC7"/>
    <w:rsid w:val="006E43CE"/>
    <w:rsid w:val="006F11BB"/>
    <w:rsid w:val="006F3D4E"/>
    <w:rsid w:val="00706681"/>
    <w:rsid w:val="0070766D"/>
    <w:rsid w:val="007240C0"/>
    <w:rsid w:val="00736572"/>
    <w:rsid w:val="0074571B"/>
    <w:rsid w:val="0075766C"/>
    <w:rsid w:val="00761637"/>
    <w:rsid w:val="007B1BAA"/>
    <w:rsid w:val="007D1675"/>
    <w:rsid w:val="007D4710"/>
    <w:rsid w:val="007E4154"/>
    <w:rsid w:val="007F3732"/>
    <w:rsid w:val="007F3A71"/>
    <w:rsid w:val="0080579A"/>
    <w:rsid w:val="00823A40"/>
    <w:rsid w:val="00842923"/>
    <w:rsid w:val="00855A67"/>
    <w:rsid w:val="00856B56"/>
    <w:rsid w:val="00857314"/>
    <w:rsid w:val="00870D57"/>
    <w:rsid w:val="00894F31"/>
    <w:rsid w:val="008B265E"/>
    <w:rsid w:val="008C0B4F"/>
    <w:rsid w:val="008E54AC"/>
    <w:rsid w:val="00904DB7"/>
    <w:rsid w:val="00907963"/>
    <w:rsid w:val="00913FBA"/>
    <w:rsid w:val="0092170B"/>
    <w:rsid w:val="0096078C"/>
    <w:rsid w:val="0096595E"/>
    <w:rsid w:val="00972065"/>
    <w:rsid w:val="00976AB5"/>
    <w:rsid w:val="00983E01"/>
    <w:rsid w:val="00991DA5"/>
    <w:rsid w:val="009A451E"/>
    <w:rsid w:val="009B7893"/>
    <w:rsid w:val="009D0809"/>
    <w:rsid w:val="009D6D7C"/>
    <w:rsid w:val="009E16D3"/>
    <w:rsid w:val="009E24EB"/>
    <w:rsid w:val="009E5EE5"/>
    <w:rsid w:val="009F02B3"/>
    <w:rsid w:val="009F5520"/>
    <w:rsid w:val="00A179FE"/>
    <w:rsid w:val="00A26ABE"/>
    <w:rsid w:val="00A47F67"/>
    <w:rsid w:val="00A54E46"/>
    <w:rsid w:val="00A65710"/>
    <w:rsid w:val="00A66C7B"/>
    <w:rsid w:val="00A92E7D"/>
    <w:rsid w:val="00AA25D0"/>
    <w:rsid w:val="00AA481B"/>
    <w:rsid w:val="00AB0192"/>
    <w:rsid w:val="00AB0A25"/>
    <w:rsid w:val="00AC555D"/>
    <w:rsid w:val="00AD2152"/>
    <w:rsid w:val="00AD2501"/>
    <w:rsid w:val="00AD519F"/>
    <w:rsid w:val="00AD7EA8"/>
    <w:rsid w:val="00AE1995"/>
    <w:rsid w:val="00AE2D3C"/>
    <w:rsid w:val="00AF47CB"/>
    <w:rsid w:val="00B13DD4"/>
    <w:rsid w:val="00B21428"/>
    <w:rsid w:val="00B33337"/>
    <w:rsid w:val="00B36FD6"/>
    <w:rsid w:val="00B425E5"/>
    <w:rsid w:val="00B529F8"/>
    <w:rsid w:val="00B57D45"/>
    <w:rsid w:val="00B714FB"/>
    <w:rsid w:val="00B77F67"/>
    <w:rsid w:val="00B82363"/>
    <w:rsid w:val="00B8699D"/>
    <w:rsid w:val="00B9771E"/>
    <w:rsid w:val="00BB5A12"/>
    <w:rsid w:val="00BB6CCF"/>
    <w:rsid w:val="00BC4AA9"/>
    <w:rsid w:val="00BE3EB6"/>
    <w:rsid w:val="00BE657C"/>
    <w:rsid w:val="00C04C52"/>
    <w:rsid w:val="00C05E87"/>
    <w:rsid w:val="00C2110D"/>
    <w:rsid w:val="00C31F8F"/>
    <w:rsid w:val="00C3395D"/>
    <w:rsid w:val="00C652F1"/>
    <w:rsid w:val="00CA41CB"/>
    <w:rsid w:val="00CA7130"/>
    <w:rsid w:val="00CB07AD"/>
    <w:rsid w:val="00CC14AD"/>
    <w:rsid w:val="00CD603A"/>
    <w:rsid w:val="00CD793C"/>
    <w:rsid w:val="00CE01BA"/>
    <w:rsid w:val="00D01CD2"/>
    <w:rsid w:val="00D03E22"/>
    <w:rsid w:val="00D05A92"/>
    <w:rsid w:val="00D65A8D"/>
    <w:rsid w:val="00D75050"/>
    <w:rsid w:val="00D842DF"/>
    <w:rsid w:val="00DC5E03"/>
    <w:rsid w:val="00DC6F20"/>
    <w:rsid w:val="00DE7494"/>
    <w:rsid w:val="00DF348A"/>
    <w:rsid w:val="00E07BC3"/>
    <w:rsid w:val="00E33A72"/>
    <w:rsid w:val="00E5787A"/>
    <w:rsid w:val="00E71CF6"/>
    <w:rsid w:val="00E8507C"/>
    <w:rsid w:val="00EC3FEC"/>
    <w:rsid w:val="00EC41ED"/>
    <w:rsid w:val="00EE1CB8"/>
    <w:rsid w:val="00EE2B92"/>
    <w:rsid w:val="00EF2451"/>
    <w:rsid w:val="00EF474F"/>
    <w:rsid w:val="00EF4AC5"/>
    <w:rsid w:val="00EF5E46"/>
    <w:rsid w:val="00F11985"/>
    <w:rsid w:val="00F172D8"/>
    <w:rsid w:val="00F24A94"/>
    <w:rsid w:val="00F367B3"/>
    <w:rsid w:val="00F447A2"/>
    <w:rsid w:val="00F60AE4"/>
    <w:rsid w:val="00F70626"/>
    <w:rsid w:val="00F7291B"/>
    <w:rsid w:val="00FA17BB"/>
    <w:rsid w:val="00FA21F9"/>
    <w:rsid w:val="00FA5546"/>
    <w:rsid w:val="00FB1F39"/>
    <w:rsid w:val="00FB6249"/>
    <w:rsid w:val="00FB77EB"/>
    <w:rsid w:val="00FC067C"/>
    <w:rsid w:val="00FC7E8F"/>
    <w:rsid w:val="00FE4E84"/>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0CE76"/>
  <w15:chartTrackingRefBased/>
  <w15:docId w15:val="{A2672B4F-0CBA-FE45-A608-40DEFDBE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AD519F"/>
    <w:pPr>
      <w:spacing w:before="120"/>
      <w:outlineLvl w:val="1"/>
    </w:pPr>
    <w:rPr>
      <w:rFonts w:cs="Arial"/>
      <w:bCs/>
      <w:sz w:val="36"/>
      <w:szCs w:val="40"/>
    </w:rPr>
  </w:style>
  <w:style w:type="paragraph" w:styleId="Heading3">
    <w:name w:val="heading 3"/>
    <w:basedOn w:val="Normal"/>
    <w:next w:val="Normal"/>
    <w:link w:val="Heading3Char"/>
    <w:uiPriority w:val="9"/>
    <w:unhideWhenUsed/>
    <w:qFormat/>
    <w:rsid w:val="00AD519F"/>
    <w:pPr>
      <w:spacing w:before="120"/>
      <w:outlineLvl w:val="2"/>
    </w:pPr>
    <w:rPr>
      <w:rFonts w:cs="Arial"/>
      <w:bCs/>
      <w:sz w:val="32"/>
      <w:szCs w:val="28"/>
    </w:rPr>
  </w:style>
  <w:style w:type="paragraph" w:styleId="Heading4">
    <w:name w:val="heading 4"/>
    <w:basedOn w:val="Normal"/>
    <w:next w:val="Normal"/>
    <w:link w:val="Heading4Char"/>
    <w:uiPriority w:val="9"/>
    <w:unhideWhenUsed/>
    <w:qFormat/>
    <w:rsid w:val="00DC6F20"/>
    <w:pPr>
      <w:spacing w:before="240"/>
      <w:outlineLvl w:val="3"/>
    </w:pPr>
    <w:rPr>
      <w:rFonts w:cs="Arial"/>
      <w:b/>
      <w:bCs/>
      <w:iCs/>
      <w:sz w:val="24"/>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AD519F"/>
    <w:rPr>
      <w:rFonts w:ascii="Arial" w:hAnsi="Arial" w:cs="Arial"/>
      <w:bCs/>
      <w:sz w:val="36"/>
      <w:szCs w:val="40"/>
    </w:rPr>
  </w:style>
  <w:style w:type="character" w:customStyle="1" w:styleId="Heading3Char">
    <w:name w:val="Heading 3 Char"/>
    <w:basedOn w:val="DefaultParagraphFont"/>
    <w:link w:val="Heading3"/>
    <w:uiPriority w:val="9"/>
    <w:rsid w:val="00AD519F"/>
    <w:rPr>
      <w:rFonts w:ascii="Arial" w:hAnsi="Arial" w:cs="Arial"/>
      <w:bCs/>
      <w:sz w:val="32"/>
      <w:szCs w:val="28"/>
    </w:rPr>
  </w:style>
  <w:style w:type="character" w:customStyle="1" w:styleId="Heading4Char">
    <w:name w:val="Heading 4 Char"/>
    <w:basedOn w:val="DefaultParagraphFont"/>
    <w:link w:val="Heading4"/>
    <w:uiPriority w:val="9"/>
    <w:rsid w:val="00DC6F20"/>
    <w:rPr>
      <w:rFonts w:ascii="Arial" w:hAnsi="Arial" w:cs="Arial"/>
      <w:b/>
      <w:bCs/>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E8507C"/>
    <w:pPr>
      <w:numPr>
        <w:numId w:val="4"/>
      </w:numPr>
      <w:tabs>
        <w:tab w:val="left" w:pos="2835"/>
      </w:tabs>
      <w:spacing w:after="60"/>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F7291B"/>
    <w:rPr>
      <w:b/>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DC6F20"/>
    <w:pPr>
      <w:pBdr>
        <w:top w:val="single" w:sz="4" w:space="1" w:color="D0CECE" w:themeColor="background2" w:themeShade="E6"/>
        <w:bottom w:val="single" w:sz="4" w:space="1" w:color="D0CECE" w:themeColor="background2" w:themeShade="E6"/>
      </w:pBd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6F20"/>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customStyle="1" w:styleId="Title1">
    <w:name w:val="Title 1"/>
    <w:basedOn w:val="Heading1"/>
    <w:qFormat/>
    <w:rsid w:val="00E8507C"/>
    <w:pPr>
      <w:spacing w:before="240" w:after="240" w:line="240" w:lineRule="auto"/>
    </w:pPr>
    <w:rPr>
      <w:sz w:val="80"/>
    </w:rPr>
  </w:style>
  <w:style w:type="paragraph" w:customStyle="1" w:styleId="Title2">
    <w:name w:val="Title 2"/>
    <w:basedOn w:val="Heading2"/>
    <w:qFormat/>
    <w:rsid w:val="00E8507C"/>
    <w:pPr>
      <w:spacing w:after="240" w:line="288" w:lineRule="auto"/>
    </w:pPr>
  </w:style>
  <w:style w:type="table" w:styleId="TableGrid">
    <w:name w:val="Table Grid"/>
    <w:basedOn w:val="TableNormal"/>
    <w:uiPriority w:val="39"/>
    <w:rsid w:val="00FB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249"/>
    <w:rPr>
      <w:color w:val="0563C1" w:themeColor="hyperlink"/>
      <w:u w:val="single"/>
    </w:rPr>
  </w:style>
  <w:style w:type="character" w:styleId="UnresolvedMention">
    <w:name w:val="Unresolved Mention"/>
    <w:basedOn w:val="DefaultParagraphFont"/>
    <w:uiPriority w:val="99"/>
    <w:rsid w:val="00FB6249"/>
    <w:rPr>
      <w:color w:val="605E5C"/>
      <w:shd w:val="clear" w:color="auto" w:fill="E1DFDD"/>
    </w:rPr>
  </w:style>
  <w:style w:type="paragraph" w:styleId="BalloonText">
    <w:name w:val="Balloon Text"/>
    <w:basedOn w:val="Normal"/>
    <w:link w:val="BalloonTextChar"/>
    <w:uiPriority w:val="99"/>
    <w:semiHidden/>
    <w:unhideWhenUsed/>
    <w:rsid w:val="00921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0B"/>
    <w:rPr>
      <w:rFonts w:ascii="Segoe UI" w:hAnsi="Segoe UI" w:cs="Segoe UI"/>
      <w:sz w:val="18"/>
      <w:szCs w:val="18"/>
    </w:rPr>
  </w:style>
  <w:style w:type="paragraph" w:styleId="TOC2">
    <w:name w:val="toc 2"/>
    <w:basedOn w:val="Normal"/>
    <w:next w:val="Normal"/>
    <w:autoRedefine/>
    <w:uiPriority w:val="39"/>
    <w:unhideWhenUsed/>
    <w:rsid w:val="002E749D"/>
    <w:pPr>
      <w:spacing w:after="100"/>
    </w:pPr>
  </w:style>
  <w:style w:type="paragraph" w:styleId="TOC1">
    <w:name w:val="toc 1"/>
    <w:basedOn w:val="Normal"/>
    <w:next w:val="Normal"/>
    <w:autoRedefine/>
    <w:uiPriority w:val="39"/>
    <w:unhideWhenUsed/>
    <w:rsid w:val="002E749D"/>
    <w:pPr>
      <w:tabs>
        <w:tab w:val="right" w:leader="dot" w:pos="8374"/>
      </w:tabs>
      <w:spacing w:after="100"/>
    </w:pPr>
  </w:style>
  <w:style w:type="character" w:styleId="CommentReference">
    <w:name w:val="annotation reference"/>
    <w:basedOn w:val="DefaultParagraphFont"/>
    <w:uiPriority w:val="99"/>
    <w:semiHidden/>
    <w:unhideWhenUsed/>
    <w:rsid w:val="00255158"/>
    <w:rPr>
      <w:sz w:val="16"/>
      <w:szCs w:val="16"/>
    </w:rPr>
  </w:style>
  <w:style w:type="paragraph" w:styleId="CommentText">
    <w:name w:val="annotation text"/>
    <w:basedOn w:val="Normal"/>
    <w:link w:val="CommentTextChar"/>
    <w:uiPriority w:val="99"/>
    <w:unhideWhenUsed/>
    <w:rsid w:val="00255158"/>
    <w:pPr>
      <w:spacing w:line="240" w:lineRule="auto"/>
    </w:pPr>
    <w:rPr>
      <w:sz w:val="20"/>
      <w:szCs w:val="20"/>
    </w:rPr>
  </w:style>
  <w:style w:type="character" w:customStyle="1" w:styleId="CommentTextChar">
    <w:name w:val="Comment Text Char"/>
    <w:basedOn w:val="DefaultParagraphFont"/>
    <w:link w:val="CommentText"/>
    <w:uiPriority w:val="99"/>
    <w:rsid w:val="002551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5158"/>
    <w:rPr>
      <w:b/>
      <w:bCs/>
    </w:rPr>
  </w:style>
  <w:style w:type="character" w:customStyle="1" w:styleId="CommentSubjectChar">
    <w:name w:val="Comment Subject Char"/>
    <w:basedOn w:val="CommentTextChar"/>
    <w:link w:val="CommentSubject"/>
    <w:uiPriority w:val="99"/>
    <w:semiHidden/>
    <w:rsid w:val="00255158"/>
    <w:rPr>
      <w:rFonts w:ascii="Arial" w:hAnsi="Arial"/>
      <w:b/>
      <w:bCs/>
      <w:sz w:val="20"/>
      <w:szCs w:val="20"/>
    </w:rPr>
  </w:style>
  <w:style w:type="paragraph" w:customStyle="1" w:styleId="TableListBullet">
    <w:name w:val="Table List Bullet"/>
    <w:basedOn w:val="Normal"/>
    <w:uiPriority w:val="19"/>
    <w:rsid w:val="00CC14AD"/>
    <w:pPr>
      <w:numPr>
        <w:numId w:val="1"/>
      </w:numPr>
      <w:spacing w:before="60" w:after="60" w:line="264" w:lineRule="auto"/>
    </w:pPr>
    <w:rPr>
      <w:rFonts w:eastAsiaTheme="minorEastAsia" w:cs="Arial"/>
      <w:sz w:val="19"/>
      <w:szCs w:val="19"/>
    </w:rPr>
  </w:style>
  <w:style w:type="paragraph" w:customStyle="1" w:styleId="Default">
    <w:name w:val="Default"/>
    <w:rsid w:val="00AD7EA8"/>
    <w:pPr>
      <w:autoSpaceDE w:val="0"/>
      <w:autoSpaceDN w:val="0"/>
      <w:adjustRightInd w:val="0"/>
    </w:pPr>
    <w:rPr>
      <w:rFonts w:ascii="Source Sans Pro Light" w:hAnsi="Source Sans Pro Light" w:cs="Source Sans Pro Light"/>
      <w:color w:val="000000"/>
    </w:rPr>
  </w:style>
  <w:style w:type="paragraph" w:styleId="TOC3">
    <w:name w:val="toc 3"/>
    <w:basedOn w:val="Normal"/>
    <w:next w:val="Normal"/>
    <w:autoRedefine/>
    <w:uiPriority w:val="39"/>
    <w:unhideWhenUsed/>
    <w:rsid w:val="002E749D"/>
    <w:pPr>
      <w:spacing w:after="100"/>
      <w:ind w:left="440"/>
    </w:pPr>
  </w:style>
  <w:style w:type="paragraph" w:customStyle="1" w:styleId="Heading50">
    <w:name w:val="Heading5"/>
    <w:link w:val="Heading5Char0"/>
    <w:qFormat/>
    <w:rsid w:val="00EC41ED"/>
    <w:rPr>
      <w:rFonts w:ascii="Arial" w:hAnsi="Arial" w:cs="Arial"/>
      <w:bCs/>
      <w:sz w:val="32"/>
      <w:szCs w:val="28"/>
    </w:rPr>
  </w:style>
  <w:style w:type="paragraph" w:styleId="TOCHeading">
    <w:name w:val="TOC Heading"/>
    <w:basedOn w:val="Heading1"/>
    <w:next w:val="Normal"/>
    <w:uiPriority w:val="39"/>
    <w:unhideWhenUsed/>
    <w:qFormat/>
    <w:rsid w:val="00EC41ED"/>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Heading5Char0">
    <w:name w:val="Heading5 Char"/>
    <w:basedOn w:val="Heading3Char"/>
    <w:link w:val="Heading50"/>
    <w:rsid w:val="00EC41ED"/>
    <w:rPr>
      <w:rFonts w:ascii="Arial" w:hAnsi="Arial" w:cs="Arial"/>
      <w:bCs/>
      <w:sz w:val="32"/>
      <w:szCs w:val="28"/>
    </w:rPr>
  </w:style>
  <w:style w:type="paragraph" w:styleId="BodyText">
    <w:name w:val="Body Text"/>
    <w:basedOn w:val="Normal"/>
    <w:link w:val="BodyTextChar"/>
    <w:uiPriority w:val="1"/>
    <w:qFormat/>
    <w:rsid w:val="00141765"/>
    <w:pPr>
      <w:widowControl w:val="0"/>
      <w:autoSpaceDE w:val="0"/>
      <w:autoSpaceDN w:val="0"/>
      <w:spacing w:before="4" w:after="0" w:line="240" w:lineRule="auto"/>
      <w:ind w:left="40"/>
    </w:pPr>
    <w:rPr>
      <w:rFonts w:eastAsia="MetaOT-Norm" w:cs="MetaOT-Norm"/>
      <w:szCs w:val="21"/>
      <w:lang w:val="en-US"/>
    </w:rPr>
  </w:style>
  <w:style w:type="character" w:customStyle="1" w:styleId="BodyTextChar">
    <w:name w:val="Body Text Char"/>
    <w:basedOn w:val="DefaultParagraphFont"/>
    <w:link w:val="BodyText"/>
    <w:uiPriority w:val="1"/>
    <w:rsid w:val="00141765"/>
    <w:rPr>
      <w:rFonts w:ascii="Arial" w:eastAsia="MetaOT-Norm" w:hAnsi="Arial" w:cs="MetaOT-Norm"/>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0201">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211383206">
      <w:bodyDiv w:val="1"/>
      <w:marLeft w:val="0"/>
      <w:marRight w:val="0"/>
      <w:marTop w:val="0"/>
      <w:marBottom w:val="0"/>
      <w:divBdr>
        <w:top w:val="none" w:sz="0" w:space="0" w:color="auto"/>
        <w:left w:val="none" w:sz="0" w:space="0" w:color="auto"/>
        <w:bottom w:val="none" w:sz="0" w:space="0" w:color="auto"/>
        <w:right w:val="none" w:sz="0" w:space="0" w:color="auto"/>
      </w:divBdr>
    </w:div>
    <w:div w:id="274599844">
      <w:bodyDiv w:val="1"/>
      <w:marLeft w:val="0"/>
      <w:marRight w:val="0"/>
      <w:marTop w:val="0"/>
      <w:marBottom w:val="0"/>
      <w:divBdr>
        <w:top w:val="none" w:sz="0" w:space="0" w:color="auto"/>
        <w:left w:val="none" w:sz="0" w:space="0" w:color="auto"/>
        <w:bottom w:val="none" w:sz="0" w:space="0" w:color="auto"/>
        <w:right w:val="none" w:sz="0" w:space="0" w:color="auto"/>
      </w:divBdr>
      <w:divsChild>
        <w:div w:id="1675375774">
          <w:marLeft w:val="274"/>
          <w:marRight w:val="0"/>
          <w:marTop w:val="0"/>
          <w:marBottom w:val="120"/>
          <w:divBdr>
            <w:top w:val="none" w:sz="0" w:space="0" w:color="auto"/>
            <w:left w:val="none" w:sz="0" w:space="0" w:color="auto"/>
            <w:bottom w:val="none" w:sz="0" w:space="0" w:color="auto"/>
            <w:right w:val="none" w:sz="0" w:space="0" w:color="auto"/>
          </w:divBdr>
        </w:div>
        <w:div w:id="1486894433">
          <w:marLeft w:val="274"/>
          <w:marRight w:val="0"/>
          <w:marTop w:val="0"/>
          <w:marBottom w:val="120"/>
          <w:divBdr>
            <w:top w:val="none" w:sz="0" w:space="0" w:color="auto"/>
            <w:left w:val="none" w:sz="0" w:space="0" w:color="auto"/>
            <w:bottom w:val="none" w:sz="0" w:space="0" w:color="auto"/>
            <w:right w:val="none" w:sz="0" w:space="0" w:color="auto"/>
          </w:divBdr>
        </w:div>
        <w:div w:id="1093936878">
          <w:marLeft w:val="274"/>
          <w:marRight w:val="0"/>
          <w:marTop w:val="0"/>
          <w:marBottom w:val="120"/>
          <w:divBdr>
            <w:top w:val="none" w:sz="0" w:space="0" w:color="auto"/>
            <w:left w:val="none" w:sz="0" w:space="0" w:color="auto"/>
            <w:bottom w:val="none" w:sz="0" w:space="0" w:color="auto"/>
            <w:right w:val="none" w:sz="0" w:space="0" w:color="auto"/>
          </w:divBdr>
        </w:div>
        <w:div w:id="1146780921">
          <w:marLeft w:val="274"/>
          <w:marRight w:val="0"/>
          <w:marTop w:val="0"/>
          <w:marBottom w:val="120"/>
          <w:divBdr>
            <w:top w:val="none" w:sz="0" w:space="0" w:color="auto"/>
            <w:left w:val="none" w:sz="0" w:space="0" w:color="auto"/>
            <w:bottom w:val="none" w:sz="0" w:space="0" w:color="auto"/>
            <w:right w:val="none" w:sz="0" w:space="0" w:color="auto"/>
          </w:divBdr>
        </w:div>
      </w:divsChild>
    </w:div>
    <w:div w:id="275017426">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12040328">
      <w:bodyDiv w:val="1"/>
      <w:marLeft w:val="0"/>
      <w:marRight w:val="0"/>
      <w:marTop w:val="0"/>
      <w:marBottom w:val="0"/>
      <w:divBdr>
        <w:top w:val="none" w:sz="0" w:space="0" w:color="auto"/>
        <w:left w:val="none" w:sz="0" w:space="0" w:color="auto"/>
        <w:bottom w:val="none" w:sz="0" w:space="0" w:color="auto"/>
        <w:right w:val="none" w:sz="0" w:space="0" w:color="auto"/>
      </w:divBdr>
    </w:div>
    <w:div w:id="566038667">
      <w:bodyDiv w:val="1"/>
      <w:marLeft w:val="0"/>
      <w:marRight w:val="0"/>
      <w:marTop w:val="0"/>
      <w:marBottom w:val="0"/>
      <w:divBdr>
        <w:top w:val="none" w:sz="0" w:space="0" w:color="auto"/>
        <w:left w:val="none" w:sz="0" w:space="0" w:color="auto"/>
        <w:bottom w:val="none" w:sz="0" w:space="0" w:color="auto"/>
        <w:right w:val="none" w:sz="0" w:space="0" w:color="auto"/>
      </w:divBdr>
    </w:div>
    <w:div w:id="696200186">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6924131">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93863280">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2371611">
      <w:bodyDiv w:val="1"/>
      <w:marLeft w:val="0"/>
      <w:marRight w:val="0"/>
      <w:marTop w:val="0"/>
      <w:marBottom w:val="0"/>
      <w:divBdr>
        <w:top w:val="none" w:sz="0" w:space="0" w:color="auto"/>
        <w:left w:val="none" w:sz="0" w:space="0" w:color="auto"/>
        <w:bottom w:val="none" w:sz="0" w:space="0" w:color="auto"/>
        <w:right w:val="none" w:sz="0" w:space="0" w:color="auto"/>
      </w:divBdr>
    </w:div>
    <w:div w:id="1379282973">
      <w:bodyDiv w:val="1"/>
      <w:marLeft w:val="0"/>
      <w:marRight w:val="0"/>
      <w:marTop w:val="0"/>
      <w:marBottom w:val="0"/>
      <w:divBdr>
        <w:top w:val="none" w:sz="0" w:space="0" w:color="auto"/>
        <w:left w:val="none" w:sz="0" w:space="0" w:color="auto"/>
        <w:bottom w:val="none" w:sz="0" w:space="0" w:color="auto"/>
        <w:right w:val="none" w:sz="0" w:space="0" w:color="auto"/>
      </w:divBdr>
    </w:div>
    <w:div w:id="1838837346">
      <w:bodyDiv w:val="1"/>
      <w:marLeft w:val="0"/>
      <w:marRight w:val="0"/>
      <w:marTop w:val="0"/>
      <w:marBottom w:val="0"/>
      <w:divBdr>
        <w:top w:val="none" w:sz="0" w:space="0" w:color="auto"/>
        <w:left w:val="none" w:sz="0" w:space="0" w:color="auto"/>
        <w:bottom w:val="none" w:sz="0" w:space="0" w:color="auto"/>
        <w:right w:val="none" w:sz="0" w:space="0" w:color="auto"/>
      </w:divBdr>
    </w:div>
    <w:div w:id="1845972594">
      <w:bodyDiv w:val="1"/>
      <w:marLeft w:val="0"/>
      <w:marRight w:val="0"/>
      <w:marTop w:val="0"/>
      <w:marBottom w:val="0"/>
      <w:divBdr>
        <w:top w:val="none" w:sz="0" w:space="0" w:color="auto"/>
        <w:left w:val="none" w:sz="0" w:space="0" w:color="auto"/>
        <w:bottom w:val="none" w:sz="0" w:space="0" w:color="auto"/>
        <w:right w:val="none" w:sz="0" w:space="0" w:color="auto"/>
      </w:divBdr>
    </w:div>
    <w:div w:id="1956865932">
      <w:bodyDiv w:val="1"/>
      <w:marLeft w:val="0"/>
      <w:marRight w:val="0"/>
      <w:marTop w:val="0"/>
      <w:marBottom w:val="0"/>
      <w:divBdr>
        <w:top w:val="none" w:sz="0" w:space="0" w:color="auto"/>
        <w:left w:val="none" w:sz="0" w:space="0" w:color="auto"/>
        <w:bottom w:val="none" w:sz="0" w:space="0" w:color="auto"/>
        <w:right w:val="none" w:sz="0" w:space="0" w:color="auto"/>
      </w:divBdr>
    </w:div>
    <w:div w:id="1986200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d2f037e489ef84f8c4a1a9a996e4f261">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449304d719f6d0efbaac39b85974c446"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YEOH, Ning</DisplayName>
        <AccountId>243</AccountId>
        <AccountType/>
      </UserInfo>
    </PPModeratedBy>
    <PPContentApprover xmlns="f114f5df-7614-43c1-ba8e-2daa6e537108">
      <UserInfo>
        <DisplayName/>
        <AccountId xsi:nil="true"/>
        <AccountType/>
      </UserInfo>
    </PPContentApprover>
    <PPLastReviewedDate xmlns="f114f5df-7614-43c1-ba8e-2daa6e537108">2026-03-20T06:16:04+00:00</PPLastReviewedDate>
    <PPPublishedNotificationAddresses xmlns="f114f5df-7614-43c1-ba8e-2daa6e537108" xsi:nil="true"/>
    <PPModeratedDate xmlns="f114f5df-7614-43c1-ba8e-2daa6e537108">2026-03-20T06:16:03+00:00</PPModeratedDate>
    <PPContentAuthor xmlns="f114f5df-7614-43c1-ba8e-2daa6e537108">
      <UserInfo>
        <DisplayName/>
        <AccountId xsi:nil="true"/>
        <AccountType/>
      </UserInfo>
    </PPContentAuthor>
    <PublishingExpirationDate xmlns="http://schemas.microsoft.com/sharepoint/v3" xsi:nil="true"/>
    <PPSubmittedBy xmlns="f114f5df-7614-43c1-ba8e-2daa6e537108">
      <UserInfo>
        <DisplayName>WATKINS, Lydia</DisplayName>
        <AccountId>112</AccountId>
        <AccountType/>
      </UserInfo>
    </PPSubmittedBy>
    <PPReviewDate xmlns="f114f5df-7614-43c1-ba8e-2daa6e537108">2027-03-19T14:00:00+00:00</PPReviewDate>
    <PPLastReviewedBy xmlns="f114f5df-7614-43c1-ba8e-2daa6e537108">
      <UserInfo>
        <DisplayName>YEOH, Ning</DisplayName>
        <AccountId>243</AccountId>
        <AccountType/>
      </UserInfo>
    </PPLastReviewedBy>
    <PublishingStartDate xmlns="http://schemas.microsoft.com/sharepoint/v3" xsi:nil="true"/>
    <PPSubmittedDate xmlns="f114f5df-7614-43c1-ba8e-2daa6e537108">2023-02-10T06:29:20+00:00</PPSubmittedDate>
    <PPReferenceNumber xmlns="f114f5df-7614-43c1-ba8e-2daa6e537108" xsi:nil="true"/>
    <Category_x0020_Initiatives_x0020_and_x0020_Strategies xmlns="f114f5df-7614-43c1-ba8e-2daa6e5371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E0872-F7AC-4647-82FA-03548BBEE60C}"/>
</file>

<file path=customXml/itemProps2.xml><?xml version="1.0" encoding="utf-8"?>
<ds:datastoreItem xmlns:ds="http://schemas.openxmlformats.org/officeDocument/2006/customXml" ds:itemID="{E08058D8-9D7D-4CAC-BE96-7811FBC180C8}">
  <ds:schemaRefs>
    <ds:schemaRef ds:uri="http://schemas.openxmlformats.org/officeDocument/2006/bibliography"/>
  </ds:schemaRefs>
</ds:datastoreItem>
</file>

<file path=customXml/itemProps3.xml><?xml version="1.0" encoding="utf-8"?>
<ds:datastoreItem xmlns:ds="http://schemas.openxmlformats.org/officeDocument/2006/customXml" ds:itemID="{7CEDEBEE-4FAC-4F19-9A00-CB7207944F86}">
  <ds:schemaRefs>
    <ds:schemaRef ds:uri="http://purl.org/dc/terms/"/>
    <ds:schemaRef ds:uri="http://www.w3.org/XML/1998/namespace"/>
    <ds:schemaRef ds:uri="http://schemas.microsoft.com/office/2006/documentManagement/types"/>
    <ds:schemaRef ds:uri="f114f5df-7614-43c1-ba8e-2daa6e53710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B9C74E85-A718-4224-A009-2C2C72B1E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Equity and Excellence placemat</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precincts conceptual model summary</dc:title>
  <dc:creator>Queensland Government</dc:creator>
  <cp:keywords>Educational precincts; conceptual model; summary</cp:keywords>
  <dc:description/>
  <cp:revision>3</cp:revision>
  <cp:lastPrinted>2022-10-19T03:21:00Z</cp:lastPrinted>
  <dcterms:created xsi:type="dcterms:W3CDTF">2024-01-11T03:46:00Z</dcterms:created>
  <dcterms:modified xsi:type="dcterms:W3CDTF">2024-01-19T04:30:00Z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