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1849132</wp:posOffset>
                </wp:positionH>
                <wp:positionV relativeFrom="paragraph">
                  <wp:posOffset>541823</wp:posOffset>
                </wp:positionV>
                <wp:extent cx="2872596" cy="413540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596" cy="41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228B" w:rsidRPr="00ED297B" w:rsidRDefault="0036228B" w:rsidP="00ED7F2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SOLDERING IRON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5.6pt;margin-top:42.65pt;width:226.2pt;height:32.5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" filled="f" stroked="f" strokeweight=".5pt">
                <v:textbox>
                  <w:txbxContent>
                    <w:p w:rsidR="0036228B" w:rsidRPr="00ED297B" w:rsidRDefault="0036228B" w:rsidP="00ED7F23">
                      <w:pPr>
                        <w:jc w:val="center"/>
                        <w:rPr>
                          <w:i/>
                          <w:color w:val="FFFFFF" w:themeColor="background1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SOLDERING IRON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28040"/>
            <wp:effectExtent l="0" t="0" r="0" b="0"/>
            <wp:docPr id="4" name="Picture 4" descr="C:\Users\kmcul0\AppData\Local\Microsoft\Windows\INetCache\Content.Word\Portable_Plant_Fixed_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EF5BB7" w:rsidRDefault="0036228B" w:rsidP="006D511B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Cs w:val="28"/>
          <w:lang w:eastAsia="zh-TW"/>
        </w:rPr>
        <w:drawing>
          <wp:anchor distT="0" distB="0" distL="114300" distR="114300" simplePos="0" relativeHeight="251667968" behindDoc="1" locked="0" layoutInCell="1" allowOverlap="1" wp14:anchorId="2C39E9DC" wp14:editId="44CD75B6">
            <wp:simplePos x="0" y="0"/>
            <wp:positionH relativeFrom="margin">
              <wp:align>right</wp:align>
            </wp:positionH>
            <wp:positionV relativeFrom="paragraph">
              <wp:posOffset>161290</wp:posOffset>
            </wp:positionV>
            <wp:extent cx="1970405" cy="1296035"/>
            <wp:effectExtent l="0" t="0" r="0" b="0"/>
            <wp:wrapTight wrapText="bothSides">
              <wp:wrapPolygon edited="0">
                <wp:start x="0" y="0"/>
                <wp:lineTo x="0" y="21272"/>
                <wp:lineTo x="21301" y="21272"/>
                <wp:lineTo x="21301" y="0"/>
                <wp:lineTo x="0" y="0"/>
              </wp:wrapPolygon>
            </wp:wrapTight>
            <wp:docPr id="1" name="Picture 11" descr="Soldering i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ldering ir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EF5BB7" w:rsidRPr="002533FD" w:rsidRDefault="00EF5BB7" w:rsidP="001B173A">
      <w:pPr>
        <w:tabs>
          <w:tab w:val="left" w:pos="720"/>
        </w:tabs>
        <w:spacing w:before="120" w:line="276" w:lineRule="auto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>This document is to be completed for staff and student use of machinery,</w:t>
      </w:r>
      <w:r w:rsidR="000020E3">
        <w:rPr>
          <w:rFonts w:eastAsia="SimSun" w:cs="Arial"/>
          <w:color w:val="000000"/>
          <w:sz w:val="20"/>
          <w:lang w:eastAsia="zh-CN"/>
        </w:rPr>
        <w:t xml:space="preserve"> </w:t>
      </w:r>
      <w:r w:rsidRPr="002533FD">
        <w:rPr>
          <w:rFonts w:eastAsia="SimSun" w:cs="Arial"/>
          <w:color w:val="000000"/>
          <w:sz w:val="20"/>
          <w:lang w:eastAsia="zh-CN"/>
        </w:rPr>
        <w:t>plant</w:t>
      </w:r>
      <w:r w:rsidR="005C2C70" w:rsidRPr="002533FD">
        <w:rPr>
          <w:rFonts w:eastAsia="SimSun" w:cs="Arial"/>
          <w:color w:val="000000"/>
          <w:sz w:val="20"/>
          <w:lang w:eastAsia="zh-CN"/>
        </w:rPr>
        <w:t xml:space="preserve"> and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equipment as a part of a school curriculum activity or program.  </w:t>
      </w:r>
    </w:p>
    <w:p w:rsidR="00205A8C" w:rsidRDefault="00EF5BB7" w:rsidP="001B173A">
      <w:pPr>
        <w:tabs>
          <w:tab w:val="left" w:pos="720"/>
        </w:tabs>
        <w:spacing w:before="240" w:after="360" w:line="276" w:lineRule="auto"/>
        <w:ind w:right="-397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 xml:space="preserve">Refer to the </w:t>
      </w:r>
      <w:hyperlink r:id="rId10" w:history="1">
        <w:r w:rsidRPr="002533FD">
          <w:rPr>
            <w:rStyle w:val="Hyperlink"/>
            <w:rFonts w:eastAsia="SimSun" w:cs="Arial"/>
            <w:sz w:val="20"/>
            <w:lang w:eastAsia="zh-CN"/>
          </w:rPr>
          <w:t>ITD Guidelines</w:t>
        </w:r>
      </w:hyperlink>
      <w:r w:rsidRPr="002533FD">
        <w:rPr>
          <w:rFonts w:eastAsia="SimSun" w:cs="Arial"/>
          <w:color w:val="000000"/>
          <w:sz w:val="20"/>
          <w:lang w:eastAsia="zh-CN"/>
        </w:rPr>
        <w:t xml:space="preserve"> for further staff advice on the risk management process for practical ITD curriculum activities in </w:t>
      </w:r>
      <w:r w:rsidR="005C2C70" w:rsidRPr="002533FD">
        <w:rPr>
          <w:rFonts w:eastAsia="SimSun" w:cs="Arial"/>
          <w:color w:val="000000"/>
          <w:sz w:val="20"/>
          <w:lang w:eastAsia="zh-CN"/>
        </w:rPr>
        <w:t>s</w:t>
      </w:r>
      <w:r w:rsidRPr="002533FD">
        <w:rPr>
          <w:rFonts w:eastAsia="SimSun" w:cs="Arial"/>
          <w:color w:val="000000"/>
          <w:sz w:val="20"/>
          <w:lang w:eastAsia="zh-CN"/>
        </w:rPr>
        <w:t>chools.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0020E3">
        <w:trPr>
          <w:trHeight w:val="489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 w:rsidRPr="00FD0150">
              <w:rPr>
                <w:rFonts w:cs="Arial"/>
                <w:b/>
                <w:color w:val="000080"/>
                <w:sz w:val="20"/>
              </w:rPr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Teachers/Leaders: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Room 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F30C5" w:rsidTr="000020E3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961"/>
        <w:gridCol w:w="3285"/>
      </w:tblGrid>
      <w:tr w:rsidR="00F235F9" w:rsidRPr="00A55D00" w:rsidTr="008D5311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285" w:type="dxa"/>
            <w:shd w:val="clear" w:color="auto" w:fill="E6E6E6"/>
            <w:vAlign w:val="center"/>
          </w:tcPr>
          <w:p w:rsidR="00F235F9" w:rsidRPr="00035006" w:rsidRDefault="00F235F9" w:rsidP="008D5311">
            <w:pPr>
              <w:tabs>
                <w:tab w:val="left" w:pos="1132"/>
                <w:tab w:val="center" w:pos="4748"/>
              </w:tabs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Action </w:t>
            </w:r>
            <w:r w:rsidR="00103888">
              <w:rPr>
                <w:b/>
                <w:sz w:val="20"/>
              </w:rPr>
              <w:t>R</w:t>
            </w:r>
            <w:r w:rsidRPr="00035006">
              <w:rPr>
                <w:b/>
                <w:sz w:val="20"/>
              </w:rPr>
              <w:t>equired/Approval</w:t>
            </w:r>
          </w:p>
        </w:tc>
      </w:tr>
      <w:tr w:rsidR="0036228B" w:rsidRPr="00A55D00" w:rsidTr="00A870F8">
        <w:trPr>
          <w:trHeight w:val="3154"/>
        </w:trPr>
        <w:tc>
          <w:tcPr>
            <w:tcW w:w="562" w:type="dxa"/>
            <w:shd w:val="clear" w:color="auto" w:fill="auto"/>
            <w:vAlign w:val="center"/>
          </w:tcPr>
          <w:p w:rsidR="0036228B" w:rsidRDefault="0036228B" w:rsidP="0036228B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36228B" w:rsidRPr="00657753" w:rsidRDefault="0036228B" w:rsidP="0036228B">
            <w:pPr>
              <w:rPr>
                <w:szCs w:val="22"/>
              </w:rPr>
            </w:pPr>
            <w:r w:rsidRPr="00657753">
              <w:rPr>
                <w:b/>
                <w:sz w:val="22"/>
                <w:szCs w:val="22"/>
              </w:rPr>
              <w:t>Low</w:t>
            </w:r>
          </w:p>
        </w:tc>
        <w:tc>
          <w:tcPr>
            <w:tcW w:w="4961" w:type="dxa"/>
            <w:vAlign w:val="center"/>
          </w:tcPr>
          <w:p w:rsidR="0036228B" w:rsidRPr="00815BFC" w:rsidRDefault="0036228B" w:rsidP="0036228B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after="120"/>
              <w:ind w:left="358" w:hanging="284"/>
              <w:rPr>
                <w:color w:val="000000"/>
                <w:sz w:val="20"/>
              </w:rPr>
            </w:pPr>
            <w:r>
              <w:rPr>
                <w:sz w:val="20"/>
              </w:rPr>
              <w:t>When used to solder small electronic components to a printed circuit board (PCB).</w:t>
            </w:r>
          </w:p>
          <w:p w:rsidR="0036228B" w:rsidRDefault="0036228B" w:rsidP="0036228B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after="120"/>
              <w:ind w:left="358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used with a temperature controlled soldering station.</w:t>
            </w:r>
          </w:p>
          <w:p w:rsidR="0036228B" w:rsidRPr="00815BFC" w:rsidRDefault="0036228B" w:rsidP="0036228B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after="120"/>
              <w:ind w:left="358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used with a soldering iron stand to keep the very hot iron tip away from flammable surfaces and operators hands.</w:t>
            </w:r>
          </w:p>
          <w:p w:rsidR="0036228B" w:rsidRPr="00815BFC" w:rsidRDefault="0036228B" w:rsidP="0036228B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after="120"/>
              <w:ind w:left="358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used as a pyrograph to burn decorative designs in wood.</w:t>
            </w:r>
          </w:p>
        </w:tc>
        <w:tc>
          <w:tcPr>
            <w:tcW w:w="3285" w:type="dxa"/>
            <w:vAlign w:val="center"/>
          </w:tcPr>
          <w:p w:rsidR="0036228B" w:rsidRPr="00A55D00" w:rsidRDefault="0036228B" w:rsidP="0036228B">
            <w:pPr>
              <w:numPr>
                <w:ilvl w:val="0"/>
                <w:numId w:val="27"/>
              </w:numPr>
              <w:tabs>
                <w:tab w:val="clear" w:pos="612"/>
                <w:tab w:val="num" w:pos="301"/>
              </w:tabs>
              <w:ind w:left="300" w:hanging="357"/>
              <w:rPr>
                <w:sz w:val="20"/>
              </w:rPr>
            </w:pPr>
            <w:r w:rsidRPr="00A55D00">
              <w:rPr>
                <w:sz w:val="20"/>
              </w:rPr>
              <w:t>Manage through regular planning processes</w:t>
            </w:r>
          </w:p>
        </w:tc>
      </w:tr>
      <w:tr w:rsidR="0036228B" w:rsidRPr="00A55D00" w:rsidTr="0036228B">
        <w:trPr>
          <w:trHeight w:val="3154"/>
        </w:trPr>
        <w:tc>
          <w:tcPr>
            <w:tcW w:w="562" w:type="dxa"/>
            <w:shd w:val="clear" w:color="auto" w:fill="auto"/>
            <w:vAlign w:val="center"/>
          </w:tcPr>
          <w:p w:rsidR="0036228B" w:rsidRDefault="0036228B" w:rsidP="0036228B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36228B" w:rsidRPr="00657753" w:rsidRDefault="0036228B" w:rsidP="0036228B">
            <w:pPr>
              <w:rPr>
                <w:szCs w:val="22"/>
              </w:rPr>
            </w:pPr>
            <w:r w:rsidRPr="00657753">
              <w:rPr>
                <w:b/>
                <w:sz w:val="22"/>
                <w:szCs w:val="22"/>
              </w:rPr>
              <w:t>Medium</w:t>
            </w:r>
          </w:p>
        </w:tc>
        <w:tc>
          <w:tcPr>
            <w:tcW w:w="4961" w:type="dxa"/>
            <w:vAlign w:val="center"/>
          </w:tcPr>
          <w:p w:rsidR="0036228B" w:rsidRPr="006750BD" w:rsidRDefault="0036228B" w:rsidP="0036228B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after="120"/>
              <w:ind w:left="358" w:hanging="284"/>
              <w:rPr>
                <w:color w:val="000000"/>
                <w:sz w:val="20"/>
              </w:rPr>
            </w:pPr>
            <w:r>
              <w:rPr>
                <w:sz w:val="20"/>
              </w:rPr>
              <w:t>W</w:t>
            </w:r>
            <w:r w:rsidRPr="00815BFC">
              <w:rPr>
                <w:sz w:val="20"/>
              </w:rPr>
              <w:t xml:space="preserve">hen </w:t>
            </w:r>
            <w:r>
              <w:rPr>
                <w:sz w:val="20"/>
              </w:rPr>
              <w:t>toxic fumes are produced from lead based soft solders and resins.</w:t>
            </w:r>
          </w:p>
          <w:p w:rsidR="0036228B" w:rsidRPr="006750BD" w:rsidRDefault="0036228B" w:rsidP="0036228B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after="120"/>
              <w:ind w:left="358" w:hanging="284"/>
              <w:rPr>
                <w:color w:val="000000"/>
                <w:sz w:val="20"/>
              </w:rPr>
            </w:pPr>
            <w:r>
              <w:rPr>
                <w:sz w:val="20"/>
              </w:rPr>
              <w:t>When soldering in locations or situations that are not typical and are therefore more likely to be hazardous.</w:t>
            </w:r>
          </w:p>
          <w:p w:rsidR="0036228B" w:rsidRPr="00815BFC" w:rsidRDefault="0036228B" w:rsidP="0036228B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20" w:after="120"/>
              <w:ind w:left="358" w:hanging="284"/>
              <w:rPr>
                <w:color w:val="000000"/>
                <w:sz w:val="20"/>
              </w:rPr>
            </w:pPr>
            <w:r>
              <w:rPr>
                <w:sz w:val="20"/>
              </w:rPr>
              <w:t>When cleaning burned fluxes and oxidised materials that accumulate on the tip.</w:t>
            </w:r>
          </w:p>
        </w:tc>
        <w:tc>
          <w:tcPr>
            <w:tcW w:w="3285" w:type="dxa"/>
            <w:vAlign w:val="center"/>
          </w:tcPr>
          <w:p w:rsidR="0036228B" w:rsidRPr="001A22D5" w:rsidRDefault="0036228B" w:rsidP="0036228B">
            <w:pPr>
              <w:pStyle w:val="BlockText"/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120" w:line="240" w:lineRule="auto"/>
              <w:ind w:left="301" w:right="0"/>
            </w:pPr>
            <w:r w:rsidRPr="001A22D5">
              <w:t xml:space="preserve">Document controls in planning documents and/or complete this </w:t>
            </w:r>
            <w:r w:rsidRPr="00A55D00">
              <w:rPr>
                <w:i/>
              </w:rPr>
              <w:t>Plant Risk Assessment</w:t>
            </w:r>
            <w:r w:rsidRPr="001A22D5">
              <w:t>.</w:t>
            </w:r>
          </w:p>
          <w:p w:rsidR="0036228B" w:rsidRPr="00A55D00" w:rsidRDefault="0036228B" w:rsidP="0036228B">
            <w:pPr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120"/>
              <w:ind w:left="300" w:hanging="357"/>
              <w:rPr>
                <w:sz w:val="20"/>
              </w:rPr>
            </w:pPr>
            <w:r w:rsidRPr="00A55D00">
              <w:rPr>
                <w:sz w:val="20"/>
              </w:rPr>
              <w:t>Consider obtaining parental permission.</w:t>
            </w:r>
          </w:p>
        </w:tc>
      </w:tr>
    </w:tbl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A55D00">
              <w:rPr>
                <w:rFonts w:cs="Arial"/>
                <w:bCs/>
                <w:iCs/>
                <w:sz w:val="20"/>
              </w:rPr>
              <w:t>Registered teacher</w:t>
            </w:r>
            <w:r>
              <w:rPr>
                <w:rFonts w:cs="Arial"/>
                <w:bCs/>
                <w:iCs/>
                <w:sz w:val="20"/>
              </w:rPr>
              <w:t>s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bCs/>
                <w:iCs/>
                <w:color w:val="000080"/>
                <w:sz w:val="20"/>
              </w:rPr>
            </w:r>
            <w:r w:rsidR="0036228B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bCs/>
                <w:iCs/>
                <w:color w:val="000080"/>
                <w:sz w:val="20"/>
              </w:rPr>
            </w:r>
            <w:r w:rsidR="0036228B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Pr="00745947">
              <w:rPr>
                <w:rFonts w:cs="Arial"/>
                <w:bCs/>
                <w:iCs/>
                <w:color w:val="000000"/>
                <w:sz w:val="20"/>
              </w:rPr>
              <w:t>n</w:t>
            </w:r>
            <w:r w:rsidRPr="00A55D00">
              <w:rPr>
                <w:rFonts w:cs="Arial"/>
                <w:bCs/>
                <w:iCs/>
                <w:sz w:val="20"/>
              </w:rPr>
              <w:t xml:space="preserve"> adult </w:t>
            </w:r>
            <w:r>
              <w:rPr>
                <w:rFonts w:cs="Arial"/>
                <w:bCs/>
                <w:iCs/>
                <w:sz w:val="20"/>
              </w:rPr>
              <w:t xml:space="preserve">staff member or leader, other than a registered teacher,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A26568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ITD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A26568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26568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A06B6F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A process for recording student sa</w:t>
            </w:r>
            <w:r>
              <w:rPr>
                <w:rFonts w:cs="Arial"/>
                <w:sz w:val="20"/>
              </w:rPr>
              <w:t>fety induction e.g. Student induction register</w:t>
            </w:r>
            <w:r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A06B6F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sz w:val="20"/>
              </w:rPr>
              <w:t xml:space="preserve">A process for recording staff training and experience, </w:t>
            </w:r>
            <w:r w:rsidRPr="00FF4247">
              <w:rPr>
                <w:rFonts w:cs="Arial"/>
                <w:sz w:val="20"/>
              </w:rPr>
              <w:t>e.g.</w:t>
            </w:r>
            <w:r w:rsidRPr="00FF4247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ITD </w:t>
            </w:r>
            <w:r w:rsidRPr="00D6263E">
              <w:rPr>
                <w:rFonts w:cs="Arial"/>
                <w:color w:val="000000"/>
                <w:sz w:val="20"/>
              </w:rPr>
              <w:t xml:space="preserve">Staff </w:t>
            </w:r>
            <w:r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1C518B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36228B" w:rsidRPr="00A55D00" w:rsidTr="001C518B">
        <w:trPr>
          <w:cantSplit/>
          <w:trHeight w:val="691"/>
        </w:trPr>
        <w:tc>
          <w:tcPr>
            <w:tcW w:w="2661" w:type="dxa"/>
            <w:vMerge w:val="restart"/>
          </w:tcPr>
          <w:p w:rsidR="0036228B" w:rsidRDefault="0036228B" w:rsidP="0036228B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36228B" w:rsidRPr="005E17E1" w:rsidRDefault="0036228B" w:rsidP="003622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36228B" w:rsidRDefault="0036228B" w:rsidP="0036228B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36228B" w:rsidRPr="00BD6FAB" w:rsidRDefault="0036228B" w:rsidP="00685DC3">
            <w:pPr>
              <w:spacing w:before="60" w:after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e.g</w:t>
            </w:r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</w:tc>
        <w:tc>
          <w:tcPr>
            <w:tcW w:w="3962" w:type="dxa"/>
            <w:tcBorders>
              <w:bottom w:val="nil"/>
            </w:tcBorders>
          </w:tcPr>
          <w:p w:rsidR="0036228B" w:rsidRDefault="0036228B" w:rsidP="0036228B">
            <w:pPr>
              <w:numPr>
                <w:ilvl w:val="0"/>
                <w:numId w:val="33"/>
              </w:numPr>
              <w:tabs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Slip resistant flooring is encouraged.  Regular checks are made for unsafe wear and damage. Inspections are made for any power leads,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6228B" w:rsidRPr="00A55D00" w:rsidRDefault="0036228B" w:rsidP="0036228B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6228B" w:rsidRPr="00A55D00" w:rsidRDefault="0036228B" w:rsidP="0036228B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6228B" w:rsidRDefault="0036228B" w:rsidP="0036228B">
            <w:pPr>
              <w:spacing w:before="36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36228B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36228B" w:rsidRPr="002A6993" w:rsidRDefault="0036228B" w:rsidP="0036228B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6228B" w:rsidRDefault="0036228B" w:rsidP="0036228B">
            <w:pPr>
              <w:numPr>
                <w:ilvl w:val="0"/>
                <w:numId w:val="33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Procedures are in place for the disposal of all waste materials around areas or work stations where electric soldering irons are being used.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6228B" w:rsidRPr="00A55D00" w:rsidRDefault="0036228B" w:rsidP="0036228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6228B" w:rsidRPr="00A55D00" w:rsidRDefault="0036228B" w:rsidP="0036228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6228B" w:rsidRDefault="0036228B" w:rsidP="0036228B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36228B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36228B" w:rsidRPr="002A6993" w:rsidRDefault="0036228B" w:rsidP="0036228B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36228B" w:rsidRDefault="0036228B" w:rsidP="0036228B">
            <w:pPr>
              <w:numPr>
                <w:ilvl w:val="0"/>
                <w:numId w:val="33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228B" w:rsidRPr="00A55D00" w:rsidRDefault="0036228B" w:rsidP="0036228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228B" w:rsidRPr="00A55D00" w:rsidRDefault="0036228B" w:rsidP="0036228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228B" w:rsidRDefault="0036228B" w:rsidP="0036228B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36228B" w:rsidRPr="00A55D00" w:rsidTr="001C518B">
        <w:trPr>
          <w:cantSplit/>
          <w:trHeight w:val="770"/>
        </w:trPr>
        <w:tc>
          <w:tcPr>
            <w:tcW w:w="2661" w:type="dxa"/>
            <w:vMerge w:val="restart"/>
          </w:tcPr>
          <w:p w:rsidR="0036228B" w:rsidRPr="002A503A" w:rsidRDefault="0036228B" w:rsidP="0036228B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>Environmental:</w:t>
            </w:r>
          </w:p>
          <w:p w:rsidR="0036228B" w:rsidRPr="0036228B" w:rsidRDefault="0036228B" w:rsidP="0036228B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 w:after="60"/>
              <w:ind w:left="340" w:right="-170" w:hanging="340"/>
              <w:rPr>
                <w:b/>
                <w:sz w:val="20"/>
              </w:rPr>
            </w:pPr>
            <w:r w:rsidRPr="0036228B">
              <w:rPr>
                <w:b/>
                <w:sz w:val="20"/>
              </w:rPr>
              <w:t xml:space="preserve"> Fumes and</w:t>
            </w:r>
            <w:r>
              <w:rPr>
                <w:b/>
                <w:sz w:val="20"/>
              </w:rPr>
              <w:t xml:space="preserve"> </w:t>
            </w:r>
            <w:r w:rsidRPr="0036228B">
              <w:rPr>
                <w:b/>
                <w:sz w:val="20"/>
              </w:rPr>
              <w:t>Vapours</w:t>
            </w:r>
          </w:p>
          <w:p w:rsidR="0036228B" w:rsidRDefault="0036228B" w:rsidP="0036228B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36228B" w:rsidRPr="002A6993" w:rsidRDefault="0036228B" w:rsidP="0036228B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Lighting</w:t>
            </w:r>
          </w:p>
          <w:p w:rsidR="0036228B" w:rsidRDefault="0036228B" w:rsidP="0036228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36228B" w:rsidRPr="006A148F" w:rsidRDefault="0036228B" w:rsidP="0036228B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36228B" w:rsidRPr="002A6993" w:rsidRDefault="0036228B" w:rsidP="0036228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portable soldering irons are </w:t>
            </w:r>
            <w:r w:rsidRPr="006D497C">
              <w:rPr>
                <w:rFonts w:cs="Arial"/>
                <w:sz w:val="18"/>
                <w:szCs w:val="18"/>
              </w:rPr>
              <w:t>regularly</w:t>
            </w:r>
            <w:r>
              <w:rPr>
                <w:rFonts w:cs="Arial"/>
                <w:sz w:val="18"/>
                <w:szCs w:val="18"/>
              </w:rPr>
              <w:t xml:space="preserve"> inspected and </w:t>
            </w:r>
            <w:r w:rsidRPr="006D497C">
              <w:rPr>
                <w:rFonts w:cs="Arial"/>
                <w:sz w:val="18"/>
                <w:szCs w:val="18"/>
              </w:rPr>
              <w:t>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6228B" w:rsidRPr="00A55D00" w:rsidRDefault="0036228B" w:rsidP="0036228B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6228B" w:rsidRPr="00A55D00" w:rsidRDefault="0036228B" w:rsidP="0036228B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6228B" w:rsidRDefault="0036228B" w:rsidP="0036228B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36228B" w:rsidRPr="00A55D00" w:rsidTr="001C518B">
        <w:trPr>
          <w:cantSplit/>
          <w:trHeight w:val="545"/>
        </w:trPr>
        <w:tc>
          <w:tcPr>
            <w:tcW w:w="2661" w:type="dxa"/>
            <w:vMerge/>
          </w:tcPr>
          <w:p w:rsidR="0036228B" w:rsidRPr="005E17E1" w:rsidRDefault="0036228B" w:rsidP="0036228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6228B" w:rsidRPr="006D497C" w:rsidRDefault="0036228B" w:rsidP="0036228B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soldering iron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6228B" w:rsidRPr="00A55D00" w:rsidRDefault="0036228B" w:rsidP="0036228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6228B" w:rsidRPr="00A55D00" w:rsidRDefault="0036228B" w:rsidP="0036228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6228B" w:rsidRDefault="0036228B" w:rsidP="0036228B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36228B" w:rsidRPr="00A55D00" w:rsidTr="0036228B">
        <w:trPr>
          <w:cantSplit/>
          <w:trHeight w:val="565"/>
        </w:trPr>
        <w:tc>
          <w:tcPr>
            <w:tcW w:w="2661" w:type="dxa"/>
            <w:vMerge/>
          </w:tcPr>
          <w:p w:rsidR="0036228B" w:rsidRPr="005E17E1" w:rsidRDefault="0036228B" w:rsidP="0036228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6228B" w:rsidRPr="004A7F5A" w:rsidRDefault="0036228B" w:rsidP="0036228B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6228B" w:rsidRPr="00A55D00" w:rsidRDefault="0036228B" w:rsidP="0036228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6228B" w:rsidRPr="00A55D00" w:rsidRDefault="0036228B" w:rsidP="0036228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6228B" w:rsidRDefault="0036228B" w:rsidP="0036228B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36228B" w:rsidRPr="00A55D00" w:rsidTr="001C518B">
        <w:trPr>
          <w:cantSplit/>
          <w:trHeight w:val="493"/>
        </w:trPr>
        <w:tc>
          <w:tcPr>
            <w:tcW w:w="2661" w:type="dxa"/>
            <w:vMerge/>
          </w:tcPr>
          <w:p w:rsidR="0036228B" w:rsidRPr="005E17E1" w:rsidRDefault="0036228B" w:rsidP="0036228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6228B" w:rsidRPr="00E80C0E" w:rsidRDefault="00685DC3" w:rsidP="0036228B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Adequate ventilation to prevent fumes from breathing zone e.g. open area with good cross ventilation; fume extraction system.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6228B" w:rsidRPr="00A55D00" w:rsidRDefault="0036228B" w:rsidP="0036228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6228B" w:rsidRPr="00A55D00" w:rsidRDefault="0036228B" w:rsidP="0036228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6228B" w:rsidRDefault="0036228B" w:rsidP="0036228B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685DC3" w:rsidRPr="00A55D00" w:rsidTr="0036228B">
        <w:trPr>
          <w:cantSplit/>
          <w:trHeight w:val="527"/>
        </w:trPr>
        <w:tc>
          <w:tcPr>
            <w:tcW w:w="2661" w:type="dxa"/>
            <w:vMerge/>
          </w:tcPr>
          <w:p w:rsidR="00685DC3" w:rsidRPr="005E17E1" w:rsidRDefault="00685DC3" w:rsidP="00685DC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685DC3" w:rsidRPr="00E80C0E" w:rsidRDefault="00685DC3" w:rsidP="00685DC3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All ducted fume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extraction systems are connected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 operational, fully maintained and cleaned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85DC3" w:rsidRPr="00A55D00" w:rsidRDefault="00685DC3" w:rsidP="00685DC3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85DC3" w:rsidRPr="00A55D00" w:rsidRDefault="00685DC3" w:rsidP="00685DC3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685DC3" w:rsidRDefault="00685DC3" w:rsidP="00685DC3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685DC3" w:rsidRPr="00A55D00" w:rsidTr="0036228B">
        <w:trPr>
          <w:cantSplit/>
          <w:trHeight w:val="495"/>
        </w:trPr>
        <w:tc>
          <w:tcPr>
            <w:tcW w:w="2661" w:type="dxa"/>
            <w:vMerge/>
          </w:tcPr>
          <w:p w:rsidR="00685DC3" w:rsidRPr="005E17E1" w:rsidRDefault="00685DC3" w:rsidP="00685DC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685DC3" w:rsidRPr="004A7F5A" w:rsidRDefault="00685DC3" w:rsidP="00685DC3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85DC3" w:rsidRPr="00A55D00" w:rsidRDefault="00685DC3" w:rsidP="00685DC3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85DC3" w:rsidRPr="00A55D00" w:rsidRDefault="00685DC3" w:rsidP="00685DC3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685DC3" w:rsidRDefault="00685DC3" w:rsidP="00685DC3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685DC3" w:rsidRPr="002568E6" w:rsidRDefault="00685DC3" w:rsidP="00685DC3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685DC3" w:rsidRPr="00A55D00" w:rsidTr="00685DC3">
        <w:trPr>
          <w:cantSplit/>
          <w:trHeight w:val="675"/>
        </w:trPr>
        <w:tc>
          <w:tcPr>
            <w:tcW w:w="2661" w:type="dxa"/>
            <w:vMerge/>
          </w:tcPr>
          <w:p w:rsidR="00685DC3" w:rsidRPr="005E17E1" w:rsidRDefault="00685DC3" w:rsidP="00685DC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685DC3" w:rsidRPr="002A6993" w:rsidRDefault="00685DC3" w:rsidP="00685DC3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5DC3" w:rsidRPr="00A55D00" w:rsidRDefault="00685DC3" w:rsidP="00685DC3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5DC3" w:rsidRPr="00A55D00" w:rsidRDefault="00685DC3" w:rsidP="00685DC3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5DC3" w:rsidRDefault="00685DC3" w:rsidP="00685DC3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685DC3" w:rsidRPr="002568E6" w:rsidRDefault="00685DC3" w:rsidP="00685DC3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685DC3" w:rsidRPr="00A55D00" w:rsidTr="00CD5795">
        <w:trPr>
          <w:cantSplit/>
          <w:trHeight w:val="639"/>
        </w:trPr>
        <w:tc>
          <w:tcPr>
            <w:tcW w:w="2661" w:type="dxa"/>
            <w:vMerge w:val="restart"/>
          </w:tcPr>
          <w:p w:rsidR="00685DC3" w:rsidRPr="002A6993" w:rsidRDefault="00685DC3" w:rsidP="00685DC3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685DC3" w:rsidRPr="00DA04A6" w:rsidRDefault="00685DC3" w:rsidP="00685DC3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685DC3" w:rsidRDefault="00685DC3" w:rsidP="00685DC3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Visual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portable power tools, their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electrical switches</w:t>
            </w:r>
            <w:r>
              <w:rPr>
                <w:rFonts w:cs="Arial"/>
                <w:color w:val="000000"/>
                <w:sz w:val="18"/>
                <w:szCs w:val="18"/>
              </w:rPr>
              <w:t>, plugs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&amp;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DC3" w:rsidRPr="00A55D00" w:rsidRDefault="00685DC3" w:rsidP="00685DC3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DC3" w:rsidRPr="00A55D00" w:rsidRDefault="00685DC3" w:rsidP="00685DC3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DC3" w:rsidRDefault="00685DC3" w:rsidP="00685DC3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685DC3" w:rsidRPr="00A55D00" w:rsidTr="001C518B">
        <w:trPr>
          <w:cantSplit/>
          <w:trHeight w:val="635"/>
        </w:trPr>
        <w:tc>
          <w:tcPr>
            <w:tcW w:w="2661" w:type="dxa"/>
            <w:vMerge/>
          </w:tcPr>
          <w:p w:rsidR="00685DC3" w:rsidRDefault="00685DC3" w:rsidP="00685DC3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685DC3" w:rsidRDefault="00685DC3" w:rsidP="00685DC3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safety inspections, testing &amp; tagging, etc. are completed regularly as per guidelines for all portable power tools.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85DC3" w:rsidRPr="00A55D00" w:rsidRDefault="00685DC3" w:rsidP="00685DC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85DC3" w:rsidRPr="00A55D00" w:rsidRDefault="00685DC3" w:rsidP="00685DC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685DC3" w:rsidRDefault="00685DC3" w:rsidP="00685DC3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685DC3" w:rsidRPr="00A55D00" w:rsidTr="00685DC3">
        <w:trPr>
          <w:cantSplit/>
          <w:trHeight w:val="635"/>
        </w:trPr>
        <w:tc>
          <w:tcPr>
            <w:tcW w:w="2661" w:type="dxa"/>
            <w:vMerge/>
          </w:tcPr>
          <w:p w:rsidR="00685DC3" w:rsidRDefault="00685DC3" w:rsidP="00685DC3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685DC3" w:rsidRPr="00F40031" w:rsidRDefault="00685DC3" w:rsidP="00685DC3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Portable power tools are to be used only w</w:t>
            </w: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here there is a RCD safety trip </w:t>
            </w: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switch connected</w:t>
            </w: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85DC3" w:rsidRPr="00A55D00" w:rsidRDefault="00685DC3" w:rsidP="00685DC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85DC3" w:rsidRPr="00A55D00" w:rsidRDefault="00685DC3" w:rsidP="00685DC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685DC3" w:rsidRDefault="00685DC3" w:rsidP="00685DC3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685DC3" w:rsidRPr="00A55D00" w:rsidTr="00685DC3">
        <w:trPr>
          <w:cantSplit/>
          <w:trHeight w:val="608"/>
        </w:trPr>
        <w:tc>
          <w:tcPr>
            <w:tcW w:w="2661" w:type="dxa"/>
            <w:vMerge/>
          </w:tcPr>
          <w:p w:rsidR="00685DC3" w:rsidRDefault="00685DC3" w:rsidP="00685DC3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685DC3" w:rsidRPr="00F361FB" w:rsidRDefault="00685DC3" w:rsidP="00685DC3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85DC3" w:rsidRPr="00A55D00" w:rsidRDefault="00685DC3" w:rsidP="00685DC3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85DC3" w:rsidRPr="00A55D00" w:rsidRDefault="00685DC3" w:rsidP="00685DC3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685DC3" w:rsidRDefault="00685DC3" w:rsidP="00685DC3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685DC3" w:rsidRPr="002568E6" w:rsidRDefault="00685DC3" w:rsidP="00685DC3">
            <w:pPr>
              <w:snapToGrid w:val="0"/>
              <w:spacing w:before="120" w:after="6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685DC3" w:rsidRPr="00A55D00" w:rsidTr="00685DC3">
        <w:trPr>
          <w:cantSplit/>
          <w:trHeight w:val="607"/>
        </w:trPr>
        <w:tc>
          <w:tcPr>
            <w:tcW w:w="2661" w:type="dxa"/>
            <w:vMerge/>
          </w:tcPr>
          <w:p w:rsidR="00685DC3" w:rsidRDefault="00685DC3" w:rsidP="00685DC3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685DC3" w:rsidRPr="00685DC3" w:rsidRDefault="00685DC3" w:rsidP="007D6EC9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685DC3">
              <w:rPr>
                <w:rFonts w:cs="Arial"/>
                <w:color w:val="000000"/>
                <w:sz w:val="18"/>
                <w:szCs w:val="18"/>
              </w:rPr>
              <w:t>Electrical maintenance on all portable power tools is documented.</w:t>
            </w:r>
          </w:p>
          <w:p w:rsidR="00685DC3" w:rsidRPr="00D32E01" w:rsidRDefault="00685DC3" w:rsidP="00685DC3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5DC3" w:rsidRPr="00A55D00" w:rsidRDefault="00685DC3" w:rsidP="00685DC3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5DC3" w:rsidRPr="00A55D00" w:rsidRDefault="00685DC3" w:rsidP="00685DC3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5DC3" w:rsidRDefault="00685DC3" w:rsidP="00685DC3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685DC3" w:rsidRPr="002568E6" w:rsidRDefault="00685DC3" w:rsidP="00685DC3">
            <w:pPr>
              <w:snapToGrid w:val="0"/>
              <w:spacing w:before="120" w:after="6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685DC3" w:rsidRPr="00A55D00" w:rsidTr="00DA04A6">
        <w:trPr>
          <w:cantSplit/>
          <w:trHeight w:val="189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685DC3" w:rsidRPr="005E17E1" w:rsidRDefault="00685DC3" w:rsidP="00685DC3">
            <w:pPr>
              <w:spacing w:before="24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Exposure:</w:t>
            </w:r>
          </w:p>
          <w:p w:rsidR="00685DC3" w:rsidRDefault="00685DC3" w:rsidP="00685DC3">
            <w:pPr>
              <w:numPr>
                <w:ilvl w:val="0"/>
                <w:numId w:val="13"/>
              </w:numPr>
              <w:tabs>
                <w:tab w:val="clear" w:pos="36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Heat, Burns and Scalds</w:t>
            </w:r>
          </w:p>
          <w:p w:rsidR="00685DC3" w:rsidRPr="002C43BD" w:rsidRDefault="00685DC3" w:rsidP="00685DC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the</w:t>
            </w:r>
            <w:r w:rsidRPr="002C43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plant </w:t>
            </w:r>
            <w:r w:rsidRPr="002C43BD">
              <w:rPr>
                <w:sz w:val="18"/>
                <w:szCs w:val="18"/>
              </w:rPr>
              <w:t xml:space="preserve">operator </w:t>
            </w:r>
            <w:r>
              <w:rPr>
                <w:sz w:val="18"/>
                <w:szCs w:val="18"/>
              </w:rPr>
              <w:t>be exposed to a heating element, exposed flame, flashback, molten metals or hot fluids likely to cause scalding or burning?</w:t>
            </w:r>
          </w:p>
          <w:p w:rsidR="00685DC3" w:rsidRDefault="00685DC3" w:rsidP="00685DC3">
            <w:pPr>
              <w:numPr>
                <w:ilvl w:val="0"/>
                <w:numId w:val="19"/>
              </w:numPr>
              <w:tabs>
                <w:tab w:val="clear" w:pos="36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Hazardous</w:t>
            </w:r>
          </w:p>
          <w:p w:rsidR="00685DC3" w:rsidRDefault="00685DC3" w:rsidP="00685DC3">
            <w:pPr>
              <w:spacing w:after="60"/>
              <w:ind w:left="340" w:right="-57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Substances</w:t>
            </w:r>
          </w:p>
          <w:p w:rsidR="00685DC3" w:rsidRDefault="00685DC3" w:rsidP="00685DC3">
            <w:pPr>
              <w:spacing w:before="6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>hazar</w:t>
            </w:r>
            <w:r>
              <w:rPr>
                <w:sz w:val="18"/>
                <w:szCs w:val="18"/>
              </w:rPr>
              <w:t>dous or toxic chemicals such as wood dust particulates?</w:t>
            </w:r>
          </w:p>
          <w:p w:rsidR="00685DC3" w:rsidRDefault="00685DC3" w:rsidP="00685DC3">
            <w:pPr>
              <w:spacing w:before="60" w:after="120"/>
              <w:ind w:right="-57"/>
              <w:rPr>
                <w:sz w:val="6"/>
                <w:szCs w:val="6"/>
              </w:rPr>
            </w:pPr>
          </w:p>
          <w:p w:rsidR="00685DC3" w:rsidRPr="002568E6" w:rsidRDefault="00685DC3" w:rsidP="00685DC3">
            <w:pPr>
              <w:spacing w:before="60" w:after="120"/>
              <w:ind w:right="-57"/>
              <w:rPr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5DC3" w:rsidRPr="002A6993" w:rsidRDefault="00685DC3" w:rsidP="00685DC3">
            <w:pPr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Non-lead solder is used where appropriate. If lead based solder is used, provide appropriate controls to manage (refer to SOP)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85DC3" w:rsidRPr="00A55D00" w:rsidRDefault="00685DC3" w:rsidP="00685DC3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DC3" w:rsidRPr="00A55D00" w:rsidRDefault="00685DC3" w:rsidP="00685DC3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DC3" w:rsidRDefault="00685DC3" w:rsidP="00685DC3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685DC3" w:rsidRPr="00A55D00" w:rsidTr="00685DC3">
        <w:trPr>
          <w:cantSplit/>
          <w:trHeight w:val="446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685DC3" w:rsidRPr="005E17E1" w:rsidRDefault="00685DC3" w:rsidP="00685DC3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DC3" w:rsidRPr="002A6993" w:rsidRDefault="00685DC3" w:rsidP="00685DC3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Any potentially hazardous waste materials or toxic vapours resulting from this soldering process are monitored and managed.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85DC3" w:rsidRPr="00A55D00" w:rsidRDefault="00685DC3" w:rsidP="00685DC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85DC3" w:rsidRPr="00A55D00" w:rsidRDefault="00685DC3" w:rsidP="00685DC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685DC3" w:rsidRDefault="00685DC3" w:rsidP="00685DC3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685DC3" w:rsidRPr="00A55D00" w:rsidTr="00685DC3">
        <w:trPr>
          <w:cantSplit/>
          <w:trHeight w:val="51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685DC3" w:rsidRPr="005E17E1" w:rsidRDefault="00685DC3" w:rsidP="00685DC3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DC3" w:rsidRDefault="00685DC3" w:rsidP="00685DC3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85DC3" w:rsidRPr="00A55D00" w:rsidRDefault="00685DC3" w:rsidP="00685DC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85DC3" w:rsidRPr="00A55D00" w:rsidRDefault="00685DC3" w:rsidP="00685DC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685DC3" w:rsidRDefault="00685DC3" w:rsidP="00685DC3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685DC3" w:rsidRPr="00A55D00" w:rsidTr="00685DC3">
        <w:trPr>
          <w:cantSplit/>
          <w:trHeight w:val="701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685DC3" w:rsidRPr="005E17E1" w:rsidRDefault="00685DC3" w:rsidP="00685DC3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DC3" w:rsidRDefault="00685DC3" w:rsidP="00685DC3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or dedicated soldering stations are clearly defined in the workspace.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85DC3" w:rsidRPr="00A55D00" w:rsidRDefault="00685DC3" w:rsidP="00685DC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85DC3" w:rsidRPr="00A55D00" w:rsidRDefault="00685DC3" w:rsidP="00685DC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685DC3" w:rsidRDefault="00685DC3" w:rsidP="00685DC3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685DC3" w:rsidRPr="00A55D00" w:rsidTr="00685DC3">
        <w:trPr>
          <w:cantSplit/>
          <w:trHeight w:val="701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685DC3" w:rsidRPr="005E17E1" w:rsidRDefault="00685DC3" w:rsidP="00685DC3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DC3" w:rsidRPr="002A6993" w:rsidRDefault="00685DC3" w:rsidP="00685DC3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Particular e</w:t>
            </w:r>
            <w:r w:rsidRPr="00470139">
              <w:rPr>
                <w:rFonts w:cs="Arial"/>
                <w:color w:val="000000"/>
                <w:sz w:val="18"/>
                <w:szCs w:val="18"/>
              </w:rPr>
              <w:t xml:space="preserve">mphasis is placed on </w:t>
            </w:r>
            <w:r>
              <w:rPr>
                <w:rFonts w:cs="Arial"/>
                <w:color w:val="000000"/>
                <w:sz w:val="18"/>
                <w:szCs w:val="18"/>
              </w:rPr>
              <w:t>the requirement for operators to be warned and to be cautious of the very hot temperatures generated at the soldering tip. Insulated soldering irons stands are recommended for all workstations.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85DC3" w:rsidRPr="00A55D00" w:rsidRDefault="00685DC3" w:rsidP="00685DC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85DC3" w:rsidRPr="00A55D00" w:rsidRDefault="00685DC3" w:rsidP="00685DC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685DC3" w:rsidRDefault="00685DC3" w:rsidP="00685DC3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685DC3" w:rsidRPr="00A55D00" w:rsidTr="00685DC3">
        <w:trPr>
          <w:cantSplit/>
          <w:trHeight w:val="701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685DC3" w:rsidRPr="005E17E1" w:rsidRDefault="00685DC3" w:rsidP="00685DC3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3" w:rsidRPr="00CA28DE" w:rsidRDefault="00685DC3" w:rsidP="00685DC3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</w:t>
            </w:r>
            <w:r>
              <w:rPr>
                <w:rFonts w:cs="Arial"/>
                <w:sz w:val="18"/>
                <w:szCs w:val="18"/>
              </w:rPr>
              <w:t xml:space="preserve"> e.g. appropriate gloves.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DC3" w:rsidRPr="00A55D00" w:rsidRDefault="00685DC3" w:rsidP="00685DC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5DC3" w:rsidRPr="00A55D00" w:rsidRDefault="00685DC3" w:rsidP="00685DC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5DC3" w:rsidRDefault="00685DC3" w:rsidP="00685DC3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685DC3" w:rsidRPr="00A55D00" w:rsidTr="00DA04A6">
        <w:trPr>
          <w:cantSplit/>
          <w:trHeight w:val="824"/>
        </w:trPr>
        <w:tc>
          <w:tcPr>
            <w:tcW w:w="2661" w:type="dxa"/>
            <w:vMerge w:val="restart"/>
          </w:tcPr>
          <w:p w:rsidR="00685DC3" w:rsidRPr="005E17E1" w:rsidRDefault="00685DC3" w:rsidP="00685DC3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685DC3" w:rsidRPr="005E17E1" w:rsidRDefault="00685DC3" w:rsidP="00685DC3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685DC3" w:rsidRDefault="00685DC3" w:rsidP="00685DC3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685DC3" w:rsidRDefault="00685DC3" w:rsidP="00685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work stations often necessitate teachers and students performing manual tasks involving heavy lifting and lowering, pushing, pulling or carrying, etc. Such tasks then contribute to a range of musculoskeletal sprains and strains for workers. </w:t>
            </w:r>
          </w:p>
          <w:p w:rsidR="00685DC3" w:rsidRDefault="00685DC3" w:rsidP="00685DC3">
            <w:pPr>
              <w:rPr>
                <w:sz w:val="18"/>
                <w:szCs w:val="18"/>
              </w:rPr>
            </w:pPr>
          </w:p>
          <w:p w:rsidR="00685DC3" w:rsidRPr="0025480F" w:rsidRDefault="00685DC3" w:rsidP="00685DC3">
            <w:pPr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685DC3" w:rsidRPr="002A6993" w:rsidRDefault="00685DC3" w:rsidP="00685DC3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Where possible, practical work benches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soft soldering workstations are planned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adjusted to a comf</w:t>
            </w:r>
            <w:r>
              <w:rPr>
                <w:rFonts w:cs="Arial"/>
                <w:color w:val="000000"/>
                <w:sz w:val="18"/>
                <w:szCs w:val="18"/>
              </w:rPr>
              <w:t>ortable work height thus minimis</w:t>
            </w:r>
            <w:r>
              <w:rPr>
                <w:rFonts w:cs="Arial"/>
                <w:color w:val="000000"/>
                <w:sz w:val="18"/>
                <w:szCs w:val="18"/>
              </w:rPr>
              <w:t>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DC3" w:rsidRPr="00A55D00" w:rsidRDefault="00685DC3" w:rsidP="00685DC3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DC3" w:rsidRPr="00A55D00" w:rsidRDefault="00685DC3" w:rsidP="00685DC3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DC3" w:rsidRDefault="00685DC3" w:rsidP="00685DC3">
            <w:pPr>
              <w:spacing w:before="24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85DC3" w:rsidRPr="00A55D00" w:rsidTr="001C518B">
        <w:trPr>
          <w:cantSplit/>
          <w:trHeight w:val="436"/>
        </w:trPr>
        <w:tc>
          <w:tcPr>
            <w:tcW w:w="2661" w:type="dxa"/>
            <w:vMerge/>
          </w:tcPr>
          <w:p w:rsidR="00685DC3" w:rsidRDefault="00685DC3" w:rsidP="00685DC3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685DC3" w:rsidRPr="002A6993" w:rsidRDefault="00685DC3" w:rsidP="00685DC3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85DC3" w:rsidRPr="00A55D00" w:rsidRDefault="00685DC3" w:rsidP="00685DC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85DC3" w:rsidRPr="00A55D00" w:rsidRDefault="00685DC3" w:rsidP="00685DC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685DC3" w:rsidRDefault="00685DC3" w:rsidP="00685DC3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85DC3" w:rsidRPr="00A55D00" w:rsidTr="001C518B">
        <w:trPr>
          <w:cantSplit/>
          <w:trHeight w:val="728"/>
        </w:trPr>
        <w:tc>
          <w:tcPr>
            <w:tcW w:w="2661" w:type="dxa"/>
            <w:vMerge/>
          </w:tcPr>
          <w:p w:rsidR="00685DC3" w:rsidRDefault="00685DC3" w:rsidP="00685DC3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685DC3" w:rsidRPr="002A6993" w:rsidRDefault="00685DC3" w:rsidP="00685DC3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Floors are regularly cleaned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free of excessive wood dust, waste materials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85DC3" w:rsidRPr="00A55D00" w:rsidRDefault="00685DC3" w:rsidP="00685DC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685DC3" w:rsidRPr="00A55D00" w:rsidRDefault="00685DC3" w:rsidP="00685DC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685DC3" w:rsidRDefault="00685DC3" w:rsidP="00685DC3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85DC3" w:rsidRPr="00A55D00" w:rsidTr="00B92B6E">
        <w:trPr>
          <w:cantSplit/>
          <w:trHeight w:val="1523"/>
        </w:trPr>
        <w:tc>
          <w:tcPr>
            <w:tcW w:w="2661" w:type="dxa"/>
            <w:vMerge/>
          </w:tcPr>
          <w:p w:rsidR="00685DC3" w:rsidRDefault="00685DC3" w:rsidP="00685DC3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685DC3" w:rsidRDefault="00685DC3" w:rsidP="00685DC3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training is provided with regard to manual handling techniques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procedures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5DC3" w:rsidRPr="00A55D00" w:rsidRDefault="00685DC3" w:rsidP="00685DC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5DC3" w:rsidRPr="00A55D00" w:rsidRDefault="00685DC3" w:rsidP="00685DC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5DC3" w:rsidRDefault="00685DC3" w:rsidP="00685DC3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357FC8" w:rsidRPr="00A55D00" w:rsidTr="001C518B">
        <w:trPr>
          <w:cantSplit/>
          <w:trHeight w:val="180"/>
        </w:trPr>
        <w:tc>
          <w:tcPr>
            <w:tcW w:w="2661" w:type="dxa"/>
            <w:vMerge w:val="restart"/>
          </w:tcPr>
          <w:p w:rsidR="00357FC8" w:rsidRPr="002A6993" w:rsidRDefault="00357FC8" w:rsidP="00357FC8">
            <w:pPr>
              <w:spacing w:before="240" w:after="6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8917AC" w:rsidRDefault="008917AC" w:rsidP="008917AC">
            <w:pPr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 a consequence of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  <w:p w:rsidR="00357FC8" w:rsidRPr="00033942" w:rsidRDefault="00357FC8" w:rsidP="00357FC8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357FC8" w:rsidRPr="002A6993" w:rsidRDefault="00357FC8" w:rsidP="00357FC8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Fire extinguishers of the correct type are readily available in all workspaces and positioned near exit doorways.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7FC8" w:rsidRPr="00A55D00" w:rsidRDefault="00357FC8" w:rsidP="00357FC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7FC8" w:rsidRPr="00A55D00" w:rsidRDefault="00357FC8" w:rsidP="00357FC8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7FC8" w:rsidRDefault="00357FC8" w:rsidP="00357FC8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357FC8" w:rsidRPr="00A55D00" w:rsidTr="001C518B">
        <w:trPr>
          <w:cantSplit/>
          <w:trHeight w:val="180"/>
        </w:trPr>
        <w:tc>
          <w:tcPr>
            <w:tcW w:w="2661" w:type="dxa"/>
            <w:vMerge/>
          </w:tcPr>
          <w:p w:rsidR="00357FC8" w:rsidRDefault="00357FC8" w:rsidP="00357FC8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57FC8" w:rsidRDefault="00357FC8" w:rsidP="008917AC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regarding procedures for the correct and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57FC8" w:rsidRPr="00A55D00" w:rsidRDefault="00357FC8" w:rsidP="00357FC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57FC8" w:rsidRPr="00A55D00" w:rsidRDefault="00357FC8" w:rsidP="00357FC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57FC8" w:rsidRDefault="00357FC8" w:rsidP="00357FC8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357FC8" w:rsidRPr="00A55D00" w:rsidTr="001C518B">
        <w:trPr>
          <w:cantSplit/>
          <w:trHeight w:val="180"/>
        </w:trPr>
        <w:tc>
          <w:tcPr>
            <w:tcW w:w="2661" w:type="dxa"/>
            <w:vMerge/>
          </w:tcPr>
          <w:p w:rsidR="00357FC8" w:rsidRDefault="00357FC8" w:rsidP="00357FC8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57FC8" w:rsidRDefault="00357FC8" w:rsidP="00357FC8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57FC8" w:rsidRPr="00A55D00" w:rsidRDefault="00357FC8" w:rsidP="00357FC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57FC8" w:rsidRPr="00A55D00" w:rsidRDefault="00357FC8" w:rsidP="00357FC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57FC8" w:rsidRDefault="00357FC8" w:rsidP="00357FC8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357FC8" w:rsidRPr="00A55D00" w:rsidTr="00B92B6E">
        <w:trPr>
          <w:cantSplit/>
          <w:trHeight w:val="1179"/>
        </w:trPr>
        <w:tc>
          <w:tcPr>
            <w:tcW w:w="2661" w:type="dxa"/>
            <w:vMerge/>
          </w:tcPr>
          <w:p w:rsidR="00357FC8" w:rsidRDefault="00357FC8" w:rsidP="00357FC8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357FC8" w:rsidRDefault="00357FC8" w:rsidP="00357FC8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Safety signage is posted clearly denoting the location of all fire safety items and emergency exits.</w:t>
            </w:r>
          </w:p>
          <w:p w:rsidR="00357FC8" w:rsidRDefault="00357FC8" w:rsidP="00357FC8">
            <w:pPr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  <w:p w:rsidR="00357FC8" w:rsidRDefault="00357FC8" w:rsidP="00357FC8">
            <w:pPr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  <w:p w:rsidR="00357FC8" w:rsidRPr="00CD64D9" w:rsidRDefault="00357FC8" w:rsidP="00357FC8">
            <w:pPr>
              <w:spacing w:before="60" w:after="60"/>
              <w:ind w:left="284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7FC8" w:rsidRPr="00A55D00" w:rsidRDefault="00357FC8" w:rsidP="00357FC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7FC8" w:rsidRPr="00A55D00" w:rsidRDefault="00357FC8" w:rsidP="00357FC8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7FC8" w:rsidRDefault="00357FC8" w:rsidP="00357FC8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F3013" w:rsidRDefault="008F3013" w:rsidP="00253231">
      <w:pPr>
        <w:rPr>
          <w:b/>
          <w:noProof/>
          <w:sz w:val="18"/>
          <w:szCs w:val="18"/>
        </w:rPr>
      </w:pPr>
    </w:p>
    <w:p w:rsidR="00B92B6E" w:rsidRPr="001E7147" w:rsidRDefault="00B92B6E" w:rsidP="00B92B6E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B92B6E" w:rsidRPr="00A55D00" w:rsidTr="00ED297B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B92B6E" w:rsidRPr="00A55D00" w:rsidRDefault="00B92B6E" w:rsidP="00ED297B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B92B6E" w:rsidRPr="00A55D00" w:rsidRDefault="00B92B6E" w:rsidP="00ED297B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B92B6E" w:rsidRPr="00087494" w:rsidRDefault="00B92B6E" w:rsidP="00ED297B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B92B6E" w:rsidRPr="00A55D00" w:rsidTr="00ED297B">
        <w:trPr>
          <w:trHeight w:val="2699"/>
        </w:trPr>
        <w:tc>
          <w:tcPr>
            <w:tcW w:w="2689" w:type="dxa"/>
            <w:shd w:val="clear" w:color="auto" w:fill="auto"/>
          </w:tcPr>
          <w:p w:rsidR="00B92B6E" w:rsidRDefault="00B92B6E" w:rsidP="00ED297B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B92B6E" w:rsidRDefault="00B92B6E" w:rsidP="00ED297B"/>
          <w:p w:rsidR="00B92B6E" w:rsidRDefault="00B92B6E" w:rsidP="00ED297B"/>
          <w:p w:rsidR="00B92B6E" w:rsidRDefault="00B92B6E" w:rsidP="00ED297B"/>
          <w:p w:rsidR="008917AC" w:rsidRDefault="008917AC" w:rsidP="00ED297B"/>
          <w:p w:rsidR="00B92B6E" w:rsidRDefault="00B92B6E" w:rsidP="00ED297B"/>
          <w:p w:rsidR="00B92B6E" w:rsidRDefault="00B92B6E" w:rsidP="00ED297B"/>
          <w:p w:rsidR="00B92B6E" w:rsidRDefault="00B92B6E" w:rsidP="00ED297B"/>
          <w:p w:rsidR="008917AC" w:rsidRDefault="008917AC" w:rsidP="00ED297B"/>
          <w:p w:rsidR="00B92B6E" w:rsidRDefault="00B92B6E" w:rsidP="00ED297B"/>
          <w:p w:rsidR="00B92B6E" w:rsidRPr="00D30FA1" w:rsidRDefault="00B92B6E" w:rsidP="00ED297B"/>
        </w:tc>
        <w:tc>
          <w:tcPr>
            <w:tcW w:w="7505" w:type="dxa"/>
            <w:shd w:val="clear" w:color="auto" w:fill="auto"/>
          </w:tcPr>
          <w:p w:rsidR="00B92B6E" w:rsidRPr="00A55D00" w:rsidRDefault="00B92B6E" w:rsidP="00ED297B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917AC" w:rsidRPr="00047F53" w:rsidRDefault="008917AC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22"/>
        <w:gridCol w:w="2297"/>
        <w:gridCol w:w="2663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     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36228B">
              <w:rPr>
                <w:rFonts w:cs="Arial"/>
                <w:b/>
                <w:color w:val="000080"/>
                <w:sz w:val="22"/>
              </w:rPr>
            </w:r>
            <w:r w:rsidR="0036228B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36228B">
              <w:rPr>
                <w:rFonts w:cs="Arial"/>
                <w:b/>
                <w:color w:val="000080"/>
                <w:sz w:val="22"/>
              </w:rPr>
            </w:r>
            <w:r w:rsidR="0036228B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36228B">
              <w:rPr>
                <w:rFonts w:cs="Arial"/>
                <w:b/>
                <w:color w:val="000080"/>
                <w:sz w:val="22"/>
              </w:rPr>
            </w:r>
            <w:r w:rsidR="0036228B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2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2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B92B6E"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8F3013" w:rsidP="005C2C70">
            <w:pPr>
              <w:pStyle w:val="Heading2"/>
              <w:spacing w:before="180" w:after="120" w:line="240" w:lineRule="auto"/>
            </w:pPr>
            <w:r w:rsidRPr="00020776">
              <w:rPr>
                <w:sz w:val="20"/>
              </w:rPr>
              <w:t xml:space="preserve">ITD staff members involved in the use of this risk assessment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B92B6E">
        <w:trPr>
          <w:trHeight w:val="4297"/>
        </w:trPr>
        <w:tc>
          <w:tcPr>
            <w:tcW w:w="4873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321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B92B6E" w:rsidRDefault="00B92B6E">
      <w:r>
        <w:br w:type="page"/>
      </w: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lastRenderedPageBreak/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</w:t>
            </w:r>
            <w:bookmarkStart w:id="3" w:name="_GoBack"/>
            <w:bookmarkEnd w:id="3"/>
            <w:r w:rsidRPr="00B3384F">
              <w:rPr>
                <w:rFonts w:cs="Arial"/>
                <w:sz w:val="20"/>
              </w:rPr>
              <w:t xml:space="preserve">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</w:r>
            <w:r w:rsidR="0036228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sectPr w:rsidR="00967C17" w:rsidSect="006B5094">
      <w:footerReference w:type="default" r:id="rId11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28B" w:rsidRDefault="0036228B">
      <w:r>
        <w:separator/>
      </w:r>
    </w:p>
  </w:endnote>
  <w:endnote w:type="continuationSeparator" w:id="0">
    <w:p w:rsidR="0036228B" w:rsidRDefault="0036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8B" w:rsidRPr="00441959" w:rsidRDefault="0036228B" w:rsidP="00441959">
    <w:pPr>
      <w:pStyle w:val="Footer"/>
      <w:jc w:val="right"/>
      <w:rPr>
        <w:sz w:val="20"/>
      </w:rPr>
    </w:pP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ABC55A4" wp14:editId="162E3E89">
              <wp:simplePos x="0" y="0"/>
              <wp:positionH relativeFrom="margin">
                <wp:posOffset>-71755</wp:posOffset>
              </wp:positionH>
              <wp:positionV relativeFrom="paragraph">
                <wp:posOffset>-398780</wp:posOffset>
              </wp:positionV>
              <wp:extent cx="1663065" cy="5048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28B" w:rsidRPr="005246DF" w:rsidRDefault="0036228B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July 2018  V3.</w:t>
                          </w:r>
                        </w:p>
                        <w:p w:rsidR="0036228B" w:rsidRDefault="0036228B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36228B" w:rsidRPr="005246DF" w:rsidRDefault="0036228B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A13687">
                            <w:rPr>
                              <w:b/>
                              <w:bCs/>
                              <w:noProof/>
                              <w:sz w:val="14"/>
                            </w:rPr>
                            <w:t>6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 w:rsidR="00685DC3">
                            <w:rPr>
                              <w:sz w:val="14"/>
                            </w:rPr>
                            <w:t>6</w:t>
                          </w:r>
                        </w:p>
                        <w:p w:rsidR="0036228B" w:rsidRPr="00F06006" w:rsidRDefault="0036228B" w:rsidP="00967C17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C55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5.65pt;margin-top:-31.4pt;width:130.9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" stroked="f">
              <v:textbox>
                <w:txbxContent>
                  <w:p w:rsidR="0036228B" w:rsidRPr="005246DF" w:rsidRDefault="0036228B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July 2018  V3.</w:t>
                    </w:r>
                  </w:p>
                  <w:p w:rsidR="0036228B" w:rsidRDefault="0036228B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36228B" w:rsidRPr="005246DF" w:rsidRDefault="0036228B" w:rsidP="00967C17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A13687">
                      <w:rPr>
                        <w:b/>
                        <w:bCs/>
                        <w:noProof/>
                        <w:sz w:val="14"/>
                      </w:rPr>
                      <w:t>6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 w:rsidR="00685DC3">
                      <w:rPr>
                        <w:sz w:val="14"/>
                      </w:rPr>
                      <w:t>6</w:t>
                    </w:r>
                  </w:p>
                  <w:p w:rsidR="0036228B" w:rsidRPr="00F06006" w:rsidRDefault="0036228B" w:rsidP="00967C17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1028EF2" wp14:editId="4A32AA76">
              <wp:simplePos x="0" y="0"/>
              <wp:positionH relativeFrom="margin">
                <wp:align>center</wp:align>
              </wp:positionH>
              <wp:positionV relativeFrom="paragraph">
                <wp:posOffset>-287655</wp:posOffset>
              </wp:positionV>
              <wp:extent cx="2040890" cy="226695"/>
              <wp:effectExtent l="0" t="0" r="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28B" w:rsidRPr="00D65DEB" w:rsidRDefault="0036228B" w:rsidP="00967C17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28EF2" id="Text Box 20" o:spid="_x0000_s1028" type="#_x0000_t202" style="position:absolute;left:0;text-align:left;margin-left:0;margin-top:-22.65pt;width:160.7pt;height:1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KlhQIAABg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" stroked="f">
              <v:textbox>
                <w:txbxContent>
                  <w:p w:rsidR="0036228B" w:rsidRPr="00D65DEB" w:rsidRDefault="0036228B" w:rsidP="00967C17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59264" behindDoc="1" locked="0" layoutInCell="1" allowOverlap="1" wp14:anchorId="2E0A203B" wp14:editId="5583561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28B" w:rsidRDefault="0036228B">
      <w:r>
        <w:separator/>
      </w:r>
    </w:p>
  </w:footnote>
  <w:footnote w:type="continuationSeparator" w:id="0">
    <w:p w:rsidR="0036228B" w:rsidRDefault="0036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2CD"/>
    <w:multiLevelType w:val="hybridMultilevel"/>
    <w:tmpl w:val="992842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C39FC"/>
    <w:multiLevelType w:val="hybridMultilevel"/>
    <w:tmpl w:val="5D7E078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606D2"/>
    <w:multiLevelType w:val="hybridMultilevel"/>
    <w:tmpl w:val="A972F5D8"/>
    <w:lvl w:ilvl="0" w:tplc="D968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1228A"/>
    <w:multiLevelType w:val="hybridMultilevel"/>
    <w:tmpl w:val="EBACB0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93A5C"/>
    <w:multiLevelType w:val="hybridMultilevel"/>
    <w:tmpl w:val="4FEEB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C6990"/>
    <w:multiLevelType w:val="hybridMultilevel"/>
    <w:tmpl w:val="A308D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7402D5"/>
    <w:multiLevelType w:val="hybridMultilevel"/>
    <w:tmpl w:val="919ECAB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603348"/>
    <w:multiLevelType w:val="hybridMultilevel"/>
    <w:tmpl w:val="07D61222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B91803"/>
    <w:multiLevelType w:val="hybridMultilevel"/>
    <w:tmpl w:val="78D87728"/>
    <w:lvl w:ilvl="0" w:tplc="9A12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41D05"/>
    <w:multiLevelType w:val="hybridMultilevel"/>
    <w:tmpl w:val="F4B0AADC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24BD8"/>
    <w:multiLevelType w:val="hybridMultilevel"/>
    <w:tmpl w:val="D1763FE0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23899"/>
    <w:multiLevelType w:val="hybridMultilevel"/>
    <w:tmpl w:val="BBAEA17E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11BD5"/>
    <w:multiLevelType w:val="hybridMultilevel"/>
    <w:tmpl w:val="3D789F66"/>
    <w:lvl w:ilvl="0" w:tplc="B8644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19"/>
  </w:num>
  <w:num w:numId="5">
    <w:abstractNumId w:val="28"/>
  </w:num>
  <w:num w:numId="6">
    <w:abstractNumId w:val="2"/>
  </w:num>
  <w:num w:numId="7">
    <w:abstractNumId w:val="15"/>
  </w:num>
  <w:num w:numId="8">
    <w:abstractNumId w:val="20"/>
  </w:num>
  <w:num w:numId="9">
    <w:abstractNumId w:val="30"/>
  </w:num>
  <w:num w:numId="10">
    <w:abstractNumId w:val="11"/>
  </w:num>
  <w:num w:numId="11">
    <w:abstractNumId w:val="29"/>
  </w:num>
  <w:num w:numId="12">
    <w:abstractNumId w:val="24"/>
  </w:num>
  <w:num w:numId="13">
    <w:abstractNumId w:val="3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6"/>
  </w:num>
  <w:num w:numId="17">
    <w:abstractNumId w:val="6"/>
  </w:num>
  <w:num w:numId="18">
    <w:abstractNumId w:val="13"/>
  </w:num>
  <w:num w:numId="19">
    <w:abstractNumId w:val="14"/>
  </w:num>
  <w:num w:numId="20">
    <w:abstractNumId w:val="16"/>
  </w:num>
  <w:num w:numId="21">
    <w:abstractNumId w:val="9"/>
  </w:num>
  <w:num w:numId="22">
    <w:abstractNumId w:val="22"/>
  </w:num>
  <w:num w:numId="23">
    <w:abstractNumId w:val="31"/>
  </w:num>
  <w:num w:numId="24">
    <w:abstractNumId w:val="5"/>
  </w:num>
  <w:num w:numId="25">
    <w:abstractNumId w:val="8"/>
  </w:num>
  <w:num w:numId="26">
    <w:abstractNumId w:val="27"/>
  </w:num>
  <w:num w:numId="27">
    <w:abstractNumId w:val="23"/>
  </w:num>
  <w:num w:numId="28">
    <w:abstractNumId w:val="0"/>
  </w:num>
  <w:num w:numId="29">
    <w:abstractNumId w:val="10"/>
  </w:num>
  <w:num w:numId="30">
    <w:abstractNumId w:val="25"/>
  </w:num>
  <w:num w:numId="31">
    <w:abstractNumId w:val="4"/>
  </w:num>
  <w:num w:numId="32">
    <w:abstractNumId w:val="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0CDB"/>
    <w:rsid w:val="000020E3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47E"/>
    <w:rsid w:val="0003380B"/>
    <w:rsid w:val="00033942"/>
    <w:rsid w:val="00033E91"/>
    <w:rsid w:val="00034187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1BE4"/>
    <w:rsid w:val="00073A13"/>
    <w:rsid w:val="000765A6"/>
    <w:rsid w:val="000805D2"/>
    <w:rsid w:val="0008112A"/>
    <w:rsid w:val="00082213"/>
    <w:rsid w:val="000827E2"/>
    <w:rsid w:val="000828F9"/>
    <w:rsid w:val="00084BA5"/>
    <w:rsid w:val="000872F5"/>
    <w:rsid w:val="00087494"/>
    <w:rsid w:val="00087FA2"/>
    <w:rsid w:val="00091CA9"/>
    <w:rsid w:val="0009640E"/>
    <w:rsid w:val="000969C9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D07C3"/>
    <w:rsid w:val="000D19B6"/>
    <w:rsid w:val="000D2430"/>
    <w:rsid w:val="000D6E58"/>
    <w:rsid w:val="000D6E89"/>
    <w:rsid w:val="000D7640"/>
    <w:rsid w:val="000D76A4"/>
    <w:rsid w:val="000E157F"/>
    <w:rsid w:val="000E28A3"/>
    <w:rsid w:val="000E3140"/>
    <w:rsid w:val="000E3C24"/>
    <w:rsid w:val="000E6DA0"/>
    <w:rsid w:val="000E7FB3"/>
    <w:rsid w:val="000F117C"/>
    <w:rsid w:val="000F2E2D"/>
    <w:rsid w:val="001004F8"/>
    <w:rsid w:val="00101AA0"/>
    <w:rsid w:val="00103888"/>
    <w:rsid w:val="00103F53"/>
    <w:rsid w:val="001047B1"/>
    <w:rsid w:val="00106FCB"/>
    <w:rsid w:val="00111FF8"/>
    <w:rsid w:val="00112BA4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57589"/>
    <w:rsid w:val="0016049E"/>
    <w:rsid w:val="00160CA1"/>
    <w:rsid w:val="00160FAB"/>
    <w:rsid w:val="00161770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173A"/>
    <w:rsid w:val="001B20D7"/>
    <w:rsid w:val="001B22BD"/>
    <w:rsid w:val="001B32BA"/>
    <w:rsid w:val="001B3828"/>
    <w:rsid w:val="001B6766"/>
    <w:rsid w:val="001C375C"/>
    <w:rsid w:val="001C3786"/>
    <w:rsid w:val="001C481F"/>
    <w:rsid w:val="001C518B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7147"/>
    <w:rsid w:val="001E72B1"/>
    <w:rsid w:val="001F1F30"/>
    <w:rsid w:val="001F2D4B"/>
    <w:rsid w:val="001F3DD4"/>
    <w:rsid w:val="0020153E"/>
    <w:rsid w:val="00201FA4"/>
    <w:rsid w:val="0020382A"/>
    <w:rsid w:val="002041CD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480F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6D15"/>
    <w:rsid w:val="002C70FD"/>
    <w:rsid w:val="002D0B0F"/>
    <w:rsid w:val="002D0B4F"/>
    <w:rsid w:val="002D2BDC"/>
    <w:rsid w:val="002D2C8C"/>
    <w:rsid w:val="002D36EA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17DB3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1AE2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57FC8"/>
    <w:rsid w:val="00360683"/>
    <w:rsid w:val="00360799"/>
    <w:rsid w:val="00361D64"/>
    <w:rsid w:val="0036228B"/>
    <w:rsid w:val="00364CF7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2A9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320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674D2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3A7F"/>
    <w:rsid w:val="00524951"/>
    <w:rsid w:val="00524C66"/>
    <w:rsid w:val="00526845"/>
    <w:rsid w:val="00527E57"/>
    <w:rsid w:val="00530CB5"/>
    <w:rsid w:val="00534436"/>
    <w:rsid w:val="00537C6B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24DB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4A90"/>
    <w:rsid w:val="006857E2"/>
    <w:rsid w:val="00685DC3"/>
    <w:rsid w:val="006864B6"/>
    <w:rsid w:val="00690561"/>
    <w:rsid w:val="00692EB0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8366F"/>
    <w:rsid w:val="007931AA"/>
    <w:rsid w:val="00794955"/>
    <w:rsid w:val="00796596"/>
    <w:rsid w:val="007A062A"/>
    <w:rsid w:val="007A18CB"/>
    <w:rsid w:val="007A3CB7"/>
    <w:rsid w:val="007A6FD2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13C4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A3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670"/>
    <w:rsid w:val="008868DB"/>
    <w:rsid w:val="008917AC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5C94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5311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300"/>
    <w:rsid w:val="009329DC"/>
    <w:rsid w:val="00932BA8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CFD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4B5"/>
    <w:rsid w:val="00A01AF8"/>
    <w:rsid w:val="00A025A3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3687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3D6A"/>
    <w:rsid w:val="00A44206"/>
    <w:rsid w:val="00A44D82"/>
    <w:rsid w:val="00A46CA5"/>
    <w:rsid w:val="00A47252"/>
    <w:rsid w:val="00A51F39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0F8"/>
    <w:rsid w:val="00A8756A"/>
    <w:rsid w:val="00A913DA"/>
    <w:rsid w:val="00A9192A"/>
    <w:rsid w:val="00A93E74"/>
    <w:rsid w:val="00A955D7"/>
    <w:rsid w:val="00A957B0"/>
    <w:rsid w:val="00AA1DD4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F1381"/>
    <w:rsid w:val="00AF2BFD"/>
    <w:rsid w:val="00AF6412"/>
    <w:rsid w:val="00B02543"/>
    <w:rsid w:val="00B03B3A"/>
    <w:rsid w:val="00B0449D"/>
    <w:rsid w:val="00B131C1"/>
    <w:rsid w:val="00B1352D"/>
    <w:rsid w:val="00B1573D"/>
    <w:rsid w:val="00B171BE"/>
    <w:rsid w:val="00B219FC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5CC"/>
    <w:rsid w:val="00B72894"/>
    <w:rsid w:val="00B748A7"/>
    <w:rsid w:val="00B8079E"/>
    <w:rsid w:val="00B83A1B"/>
    <w:rsid w:val="00B83DEE"/>
    <w:rsid w:val="00B852BC"/>
    <w:rsid w:val="00B8693D"/>
    <w:rsid w:val="00B86A65"/>
    <w:rsid w:val="00B92B6E"/>
    <w:rsid w:val="00B93B84"/>
    <w:rsid w:val="00B95196"/>
    <w:rsid w:val="00B95D28"/>
    <w:rsid w:val="00B97900"/>
    <w:rsid w:val="00BA1011"/>
    <w:rsid w:val="00BA1262"/>
    <w:rsid w:val="00BA43F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6B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090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3FA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A5443"/>
    <w:rsid w:val="00CB023D"/>
    <w:rsid w:val="00CB2C75"/>
    <w:rsid w:val="00CB3024"/>
    <w:rsid w:val="00CB3E2D"/>
    <w:rsid w:val="00CB6A29"/>
    <w:rsid w:val="00CB7D76"/>
    <w:rsid w:val="00CC0582"/>
    <w:rsid w:val="00CC299D"/>
    <w:rsid w:val="00CC3D70"/>
    <w:rsid w:val="00CC4141"/>
    <w:rsid w:val="00CC513A"/>
    <w:rsid w:val="00CC77F8"/>
    <w:rsid w:val="00CD032F"/>
    <w:rsid w:val="00CD1908"/>
    <w:rsid w:val="00CD275D"/>
    <w:rsid w:val="00CD5079"/>
    <w:rsid w:val="00CD5795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50D9"/>
    <w:rsid w:val="00D16361"/>
    <w:rsid w:val="00D207AB"/>
    <w:rsid w:val="00D21053"/>
    <w:rsid w:val="00D21C1C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5EF8"/>
    <w:rsid w:val="00D464D0"/>
    <w:rsid w:val="00D47495"/>
    <w:rsid w:val="00D508F4"/>
    <w:rsid w:val="00D566D6"/>
    <w:rsid w:val="00D56B3E"/>
    <w:rsid w:val="00D703DD"/>
    <w:rsid w:val="00D70C5A"/>
    <w:rsid w:val="00D766C4"/>
    <w:rsid w:val="00D776FD"/>
    <w:rsid w:val="00D807F4"/>
    <w:rsid w:val="00D8439F"/>
    <w:rsid w:val="00D855B3"/>
    <w:rsid w:val="00D8586F"/>
    <w:rsid w:val="00D937A5"/>
    <w:rsid w:val="00D93DD6"/>
    <w:rsid w:val="00D95EEB"/>
    <w:rsid w:val="00D97482"/>
    <w:rsid w:val="00D9775A"/>
    <w:rsid w:val="00DA04A6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AD3"/>
    <w:rsid w:val="00E05B69"/>
    <w:rsid w:val="00E07386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94EAA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B7A77"/>
    <w:rsid w:val="00EC1223"/>
    <w:rsid w:val="00EC1B9A"/>
    <w:rsid w:val="00EC204D"/>
    <w:rsid w:val="00EC68D4"/>
    <w:rsid w:val="00ED06D1"/>
    <w:rsid w:val="00ED297B"/>
    <w:rsid w:val="00ED2DAA"/>
    <w:rsid w:val="00ED3C5E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4C58"/>
    <w:rsid w:val="00F82FF8"/>
    <w:rsid w:val="00F85489"/>
    <w:rsid w:val="00F87FAF"/>
    <w:rsid w:val="00F90A10"/>
    <w:rsid w:val="00F919F4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3E08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6EA4F5AC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uiPriority w:val="99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ducation.qld.gov.au/health/pdfs/healthsafety/itd-staff-guidelin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C6E1BD7A-A464-4452-8352-BB28717D64D3}"/>
</file>

<file path=customXml/itemProps2.xml><?xml version="1.0" encoding="utf-8"?>
<ds:datastoreItem xmlns:ds="http://schemas.openxmlformats.org/officeDocument/2006/customXml" ds:itemID="{8B1C08F8-646C-4E5F-8B83-948C775BFAC6}"/>
</file>

<file path=customXml/itemProps3.xml><?xml version="1.0" encoding="utf-8"?>
<ds:datastoreItem xmlns:ds="http://schemas.openxmlformats.org/officeDocument/2006/customXml" ds:itemID="{82726A63-81D2-448F-831A-19070FFA6A57}"/>
</file>

<file path=customXml/itemProps4.xml><?xml version="1.0" encoding="utf-8"?>
<ds:datastoreItem xmlns:ds="http://schemas.openxmlformats.org/officeDocument/2006/customXml" ds:itemID="{45A023D8-ABCD-497F-A134-4583EF143D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1986</Words>
  <Characters>13882</Characters>
  <Application>Microsoft Office Word</Application>
  <DocSecurity>0</DocSecurity>
  <Lines>115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assessment - Soldering iron</dc:title>
  <dc:creator>CLARK, Brian</dc:creator>
  <cp:keywords>DETE, Education Queensland</cp:keywords>
  <cp:lastModifiedBy>CULPEPPER, Kristyn</cp:lastModifiedBy>
  <cp:revision>2</cp:revision>
  <cp:lastPrinted>2011-10-11T01:20:00Z</cp:lastPrinted>
  <dcterms:created xsi:type="dcterms:W3CDTF">2018-07-10T06:08:00Z</dcterms:created>
  <dcterms:modified xsi:type="dcterms:W3CDTF">2018-07-10T06:08:00Z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