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CA" w:rsidRPr="003A5C69" w:rsidRDefault="00AE0CD6" w:rsidP="003A5C69">
      <w:pPr>
        <w:pStyle w:val="Heading1"/>
        <w:spacing w:after="240" w:line="276" w:lineRule="auto"/>
        <w:jc w:val="center"/>
        <w:rPr>
          <w:sz w:val="48"/>
          <w:szCs w:val="48"/>
        </w:rPr>
      </w:pPr>
      <w:bookmarkStart w:id="0" w:name="_GoBack"/>
      <w:bookmarkEnd w:id="0"/>
      <w:r w:rsidRPr="003A5C69">
        <w:rPr>
          <w:sz w:val="48"/>
          <w:szCs w:val="48"/>
        </w:rPr>
        <w:t>Prohibited and high risk</w:t>
      </w:r>
      <w:r w:rsidR="00CD2E92" w:rsidRPr="003A5C69">
        <w:rPr>
          <w:sz w:val="48"/>
          <w:szCs w:val="48"/>
        </w:rPr>
        <w:t xml:space="preserve"> chemicals in department workplaces</w:t>
      </w:r>
    </w:p>
    <w:p w:rsidR="00CD2E92" w:rsidRPr="007212E6" w:rsidRDefault="00CD2E92" w:rsidP="00CD2E92">
      <w:pPr>
        <w:spacing w:line="276" w:lineRule="auto"/>
        <w:rPr>
          <w:sz w:val="21"/>
          <w:szCs w:val="21"/>
        </w:rPr>
      </w:pPr>
      <w:bookmarkStart w:id="1" w:name="_Toc266950186"/>
      <w:r w:rsidRPr="00D026E3">
        <w:rPr>
          <w:sz w:val="21"/>
          <w:szCs w:val="21"/>
        </w:rPr>
        <w:t xml:space="preserve">A number of chemicals are banned from purchase and use in </w:t>
      </w:r>
      <w:r w:rsidR="00ED6493">
        <w:rPr>
          <w:sz w:val="21"/>
          <w:szCs w:val="21"/>
        </w:rPr>
        <w:t xml:space="preserve">Department of Education (department) </w:t>
      </w:r>
      <w:r w:rsidRPr="00D026E3">
        <w:rPr>
          <w:sz w:val="21"/>
          <w:szCs w:val="21"/>
        </w:rPr>
        <w:t xml:space="preserve">workplaces because of their inherent risks to staff, students and others. The </w:t>
      </w:r>
      <w:bookmarkStart w:id="2" w:name="prohibchem"/>
      <w:r w:rsidRPr="00D026E3">
        <w:rPr>
          <w:sz w:val="21"/>
          <w:szCs w:val="21"/>
        </w:rPr>
        <w:t xml:space="preserve">prohibited chemicals </w:t>
      </w:r>
      <w:bookmarkEnd w:id="2"/>
      <w:r w:rsidRPr="00D026E3">
        <w:rPr>
          <w:sz w:val="21"/>
          <w:szCs w:val="21"/>
        </w:rPr>
        <w:t>are listed by occupation or student groups</w:t>
      </w:r>
      <w:r w:rsidR="00D82B9B">
        <w:rPr>
          <w:sz w:val="21"/>
          <w:szCs w:val="21"/>
        </w:rPr>
        <w:t xml:space="preserve"> in </w:t>
      </w:r>
      <w:r w:rsidR="00ED6493" w:rsidRPr="00D026E3">
        <w:rPr>
          <w:sz w:val="21"/>
          <w:szCs w:val="21"/>
        </w:rPr>
        <w:t>department</w:t>
      </w:r>
      <w:r w:rsidR="00ED6493" w:rsidDel="00ED6493">
        <w:rPr>
          <w:sz w:val="21"/>
          <w:szCs w:val="21"/>
        </w:rPr>
        <w:t xml:space="preserve"> </w:t>
      </w:r>
      <w:r w:rsidR="00D82B9B">
        <w:rPr>
          <w:sz w:val="21"/>
          <w:szCs w:val="21"/>
        </w:rPr>
        <w:t>facilities</w:t>
      </w:r>
      <w:r w:rsidR="00705591">
        <w:rPr>
          <w:sz w:val="21"/>
          <w:szCs w:val="21"/>
        </w:rPr>
        <w:t xml:space="preserve"> below</w:t>
      </w:r>
      <w:r w:rsidRPr="00D026E3">
        <w:rPr>
          <w:sz w:val="21"/>
          <w:szCs w:val="21"/>
        </w:rPr>
        <w:t>.</w:t>
      </w:r>
      <w:bookmarkEnd w:id="1"/>
      <w:r w:rsidRPr="00D026E3">
        <w:rPr>
          <w:sz w:val="21"/>
          <w:szCs w:val="21"/>
        </w:rPr>
        <w:t xml:space="preserve"> </w:t>
      </w:r>
    </w:p>
    <w:p w:rsidR="00CD2E92" w:rsidRPr="000E28F0" w:rsidRDefault="00CD2E92" w:rsidP="00CD2E92">
      <w:pPr>
        <w:pStyle w:val="Heading3"/>
        <w:spacing w:line="276" w:lineRule="auto"/>
      </w:pPr>
      <w:bookmarkStart w:id="3" w:name="_Toc266950187"/>
      <w:bookmarkStart w:id="4" w:name="_Toc268192923"/>
      <w:bookmarkStart w:id="5" w:name="_Toc317078395"/>
      <w:bookmarkStart w:id="6" w:name="_Toc317078630"/>
      <w:bookmarkStart w:id="7" w:name="_Toc327364209"/>
      <w:bookmarkStart w:id="8" w:name="_Toc328728980"/>
      <w:bookmarkStart w:id="9" w:name="_Toc330813241"/>
      <w:r w:rsidRPr="000E28F0">
        <w:t xml:space="preserve">Prohibited </w:t>
      </w:r>
      <w:r>
        <w:t>–</w:t>
      </w:r>
      <w:r w:rsidRPr="000E28F0">
        <w:t xml:space="preserve"> All </w:t>
      </w:r>
      <w:r w:rsidR="000009C9">
        <w:t xml:space="preserve">department </w:t>
      </w:r>
      <w:bookmarkEnd w:id="3"/>
      <w:bookmarkEnd w:id="4"/>
      <w:bookmarkEnd w:id="5"/>
      <w:bookmarkEnd w:id="6"/>
      <w:bookmarkEnd w:id="7"/>
      <w:bookmarkEnd w:id="8"/>
      <w:bookmarkEnd w:id="9"/>
      <w:r w:rsidR="000009C9">
        <w:t>s</w:t>
      </w:r>
      <w:r w:rsidR="000009C9" w:rsidRPr="000E28F0">
        <w:t>taff</w:t>
      </w:r>
    </w:p>
    <w:bookmarkStart w:id="10" w:name="_Toc266950188"/>
    <w:p w:rsidR="00CD2E92" w:rsidRPr="00D026E3" w:rsidRDefault="00EF7CFA" w:rsidP="00CD2E92">
      <w:pPr>
        <w:pStyle w:val="ListParagraph"/>
        <w:numPr>
          <w:ilvl w:val="0"/>
          <w:numId w:val="6"/>
        </w:numPr>
        <w:spacing w:after="0" w:line="276" w:lineRule="auto"/>
        <w:rPr>
          <w:rStyle w:val="Hyperlink"/>
          <w:rFonts w:cs="Arial"/>
          <w:sz w:val="21"/>
          <w:szCs w:val="21"/>
        </w:rPr>
      </w:pPr>
      <w:r w:rsidRPr="00D026E3">
        <w:rPr>
          <w:rFonts w:cs="Arial"/>
          <w:sz w:val="21"/>
          <w:szCs w:val="21"/>
        </w:rPr>
        <w:fldChar w:fldCharType="begin"/>
      </w:r>
      <w:r w:rsidRPr="00D026E3">
        <w:rPr>
          <w:rFonts w:cs="Arial"/>
          <w:sz w:val="21"/>
          <w:szCs w:val="21"/>
        </w:rPr>
        <w:instrText xml:space="preserve"> HYPERLINK "https://education.qld.gov.au/about-us/reporting-data-research/reporting/asbestos-management" </w:instrText>
      </w:r>
      <w:r w:rsidRPr="00D026E3">
        <w:rPr>
          <w:rFonts w:cs="Arial"/>
          <w:sz w:val="21"/>
          <w:szCs w:val="21"/>
        </w:rPr>
        <w:fldChar w:fldCharType="separate"/>
      </w:r>
      <w:r w:rsidR="00CD2E92" w:rsidRPr="00D026E3">
        <w:rPr>
          <w:rStyle w:val="Hyperlink"/>
          <w:rFonts w:cs="Arial"/>
          <w:sz w:val="21"/>
          <w:szCs w:val="21"/>
        </w:rPr>
        <w:t>Asbestos</w:t>
      </w:r>
      <w:r w:rsidR="00E46A22">
        <w:rPr>
          <w:rStyle w:val="Hyperlink"/>
          <w:rFonts w:cs="Arial"/>
          <w:sz w:val="21"/>
          <w:szCs w:val="21"/>
        </w:rPr>
        <w:t>-</w:t>
      </w:r>
      <w:r w:rsidR="00CD2E92" w:rsidRPr="00D026E3">
        <w:rPr>
          <w:rStyle w:val="Hyperlink"/>
          <w:rFonts w:cs="Arial"/>
          <w:sz w:val="21"/>
          <w:szCs w:val="21"/>
        </w:rPr>
        <w:t>containing materials</w:t>
      </w:r>
      <w:bookmarkEnd w:id="10"/>
    </w:p>
    <w:bookmarkStart w:id="11" w:name="_Toc266950189"/>
    <w:bookmarkStart w:id="12" w:name="_Toc268192924"/>
    <w:bookmarkStart w:id="13" w:name="_Toc317078396"/>
    <w:bookmarkStart w:id="14" w:name="_Toc317078631"/>
    <w:bookmarkStart w:id="15" w:name="_Toc327364210"/>
    <w:bookmarkStart w:id="16" w:name="_Toc328728981"/>
    <w:bookmarkStart w:id="17" w:name="_Toc330813242"/>
    <w:p w:rsidR="00806B6F" w:rsidRPr="00806B6F" w:rsidRDefault="00EF7CFA" w:rsidP="00806B6F">
      <w:pPr>
        <w:pStyle w:val="ListParagraph"/>
        <w:numPr>
          <w:ilvl w:val="0"/>
          <w:numId w:val="6"/>
        </w:numPr>
        <w:spacing w:after="0" w:line="276" w:lineRule="auto"/>
        <w:ind w:left="714" w:hanging="357"/>
        <w:rPr>
          <w:rFonts w:cs="Arial"/>
          <w:bCs/>
          <w:sz w:val="21"/>
          <w:szCs w:val="21"/>
        </w:rPr>
      </w:pPr>
      <w:r w:rsidRPr="00D026E3">
        <w:rPr>
          <w:rFonts w:cs="Arial"/>
          <w:sz w:val="21"/>
          <w:szCs w:val="21"/>
        </w:rPr>
        <w:fldChar w:fldCharType="end"/>
      </w:r>
      <w:hyperlink r:id="rId11" w:history="1">
        <w:r w:rsidR="00806B6F" w:rsidRPr="00806B6F">
          <w:rPr>
            <w:rStyle w:val="Hyperlink"/>
            <w:rFonts w:cs="Arial"/>
            <w:bCs/>
            <w:sz w:val="21"/>
            <w:szCs w:val="21"/>
          </w:rPr>
          <w:t>CCA treated timber</w:t>
        </w:r>
      </w:hyperlink>
    </w:p>
    <w:p w:rsidR="00796F60" w:rsidRDefault="00796F60" w:rsidP="00796F60">
      <w:pPr>
        <w:pStyle w:val="Heading3"/>
        <w:spacing w:line="276" w:lineRule="auto"/>
      </w:pPr>
      <w:r w:rsidRPr="000E28F0">
        <w:t>Prohibited</w:t>
      </w:r>
      <w:r>
        <w:t xml:space="preserve"> –</w:t>
      </w:r>
      <w:r w:rsidRPr="000E28F0">
        <w:t xml:space="preserve"> </w:t>
      </w:r>
      <w:r w:rsidR="00D82B9B">
        <w:t xml:space="preserve">All </w:t>
      </w:r>
      <w:r w:rsidR="00702DAC">
        <w:t>department s</w:t>
      </w:r>
      <w:r w:rsidR="00702DAC" w:rsidRPr="000E28F0">
        <w:t xml:space="preserve">taff </w:t>
      </w:r>
      <w:r w:rsidRPr="000E28F0">
        <w:t xml:space="preserve">and </w:t>
      </w:r>
      <w:r w:rsidR="00702DAC">
        <w:t>s</w:t>
      </w:r>
      <w:r w:rsidR="00702DAC" w:rsidRPr="000E28F0">
        <w:t xml:space="preserve">tudents </w:t>
      </w:r>
    </w:p>
    <w:p w:rsidR="00796F60" w:rsidRPr="00D026E3" w:rsidRDefault="00796F60" w:rsidP="00D026E3">
      <w:pPr>
        <w:pStyle w:val="ListParagraph"/>
        <w:numPr>
          <w:ilvl w:val="0"/>
          <w:numId w:val="8"/>
        </w:numPr>
        <w:spacing w:after="0" w:line="276" w:lineRule="auto"/>
        <w:ind w:left="714" w:hanging="357"/>
        <w:rPr>
          <w:rFonts w:cs="Arial"/>
          <w:sz w:val="21"/>
          <w:szCs w:val="21"/>
        </w:rPr>
      </w:pPr>
      <w:r w:rsidRPr="00D026E3">
        <w:rPr>
          <w:rFonts w:cs="Arial"/>
          <w:sz w:val="21"/>
          <w:szCs w:val="21"/>
        </w:rPr>
        <w:t>Potassium chlorate (potentially explosive)</w:t>
      </w:r>
    </w:p>
    <w:p w:rsidR="00796F60" w:rsidRPr="00D026E3" w:rsidRDefault="00796F60" w:rsidP="00D026E3">
      <w:pPr>
        <w:pStyle w:val="ListParagraph"/>
        <w:numPr>
          <w:ilvl w:val="0"/>
          <w:numId w:val="8"/>
        </w:numPr>
        <w:spacing w:after="0" w:line="276" w:lineRule="auto"/>
        <w:ind w:left="714" w:hanging="357"/>
        <w:rPr>
          <w:rFonts w:cs="Arial"/>
          <w:sz w:val="21"/>
          <w:szCs w:val="21"/>
        </w:rPr>
      </w:pPr>
      <w:r w:rsidRPr="00D026E3">
        <w:rPr>
          <w:rFonts w:cs="Arial"/>
          <w:sz w:val="21"/>
          <w:szCs w:val="21"/>
        </w:rPr>
        <w:t xml:space="preserve">Benzene </w:t>
      </w:r>
    </w:p>
    <w:p w:rsidR="00796F60" w:rsidRPr="00D026E3" w:rsidRDefault="00796F60" w:rsidP="00D026E3">
      <w:pPr>
        <w:pStyle w:val="ListParagraph"/>
        <w:numPr>
          <w:ilvl w:val="0"/>
          <w:numId w:val="8"/>
        </w:numPr>
        <w:spacing w:after="0" w:line="276" w:lineRule="auto"/>
        <w:ind w:left="714" w:hanging="357"/>
        <w:rPr>
          <w:sz w:val="21"/>
          <w:szCs w:val="21"/>
          <w:lang w:eastAsia="en-AU"/>
        </w:rPr>
      </w:pPr>
      <w:r w:rsidRPr="00D026E3">
        <w:rPr>
          <w:rFonts w:cs="Arial"/>
          <w:sz w:val="21"/>
          <w:szCs w:val="21"/>
        </w:rPr>
        <w:t>Carbon tetrachloride</w:t>
      </w:r>
    </w:p>
    <w:p w:rsidR="00D82B9B" w:rsidRPr="00806B6F" w:rsidRDefault="00D82B9B" w:rsidP="00D82B9B">
      <w:pPr>
        <w:pStyle w:val="ListParagraph"/>
        <w:numPr>
          <w:ilvl w:val="0"/>
          <w:numId w:val="8"/>
        </w:numPr>
        <w:spacing w:after="0" w:line="276" w:lineRule="auto"/>
        <w:rPr>
          <w:rFonts w:cs="Arial"/>
          <w:bCs/>
          <w:sz w:val="21"/>
          <w:szCs w:val="21"/>
        </w:rPr>
      </w:pPr>
      <w:r w:rsidRPr="00806B6F">
        <w:rPr>
          <w:rFonts w:cs="Arial"/>
          <w:bCs/>
          <w:sz w:val="21"/>
          <w:szCs w:val="21"/>
        </w:rPr>
        <w:t xml:space="preserve">Known </w:t>
      </w:r>
      <w:proofErr w:type="spellStart"/>
      <w:r w:rsidRPr="00806B6F">
        <w:rPr>
          <w:rFonts w:cs="Arial"/>
          <w:bCs/>
          <w:sz w:val="21"/>
          <w:szCs w:val="21"/>
        </w:rPr>
        <w:t>carginogens</w:t>
      </w:r>
      <w:proofErr w:type="spellEnd"/>
      <w:r w:rsidRPr="00806B6F">
        <w:rPr>
          <w:rFonts w:cs="Arial"/>
          <w:bCs/>
          <w:sz w:val="21"/>
          <w:szCs w:val="21"/>
        </w:rPr>
        <w:t xml:space="preserve"> and restricted hazardous chem</w:t>
      </w:r>
      <w:r w:rsidR="002A5D5B">
        <w:rPr>
          <w:rFonts w:cs="Arial"/>
          <w:bCs/>
          <w:sz w:val="21"/>
          <w:szCs w:val="21"/>
        </w:rPr>
        <w:t>i</w:t>
      </w:r>
      <w:r w:rsidRPr="00806B6F">
        <w:rPr>
          <w:rFonts w:cs="Arial"/>
          <w:bCs/>
          <w:sz w:val="21"/>
          <w:szCs w:val="21"/>
        </w:rPr>
        <w:t xml:space="preserve">cals listed in </w:t>
      </w:r>
      <w:hyperlink r:id="rId12" w:history="1">
        <w:r w:rsidRPr="00362DF0">
          <w:rPr>
            <w:rStyle w:val="Hyperlink"/>
            <w:i/>
            <w:sz w:val="21"/>
            <w:szCs w:val="21"/>
          </w:rPr>
          <w:t>Work Health and Safety (WHS) Regulation 2011 (Qld),</w:t>
        </w:r>
      </w:hyperlink>
      <w:r w:rsidRPr="00806B6F">
        <w:rPr>
          <w:i/>
          <w:sz w:val="21"/>
          <w:szCs w:val="21"/>
        </w:rPr>
        <w:t xml:space="preserve"> </w:t>
      </w:r>
      <w:hyperlink r:id="rId13" w:history="1">
        <w:r w:rsidRPr="00806B6F">
          <w:rPr>
            <w:rStyle w:val="Hyperlink"/>
            <w:i/>
            <w:sz w:val="21"/>
            <w:szCs w:val="21"/>
          </w:rPr>
          <w:t>Schedule 10</w:t>
        </w:r>
      </w:hyperlink>
      <w:r w:rsidRPr="007212E6">
        <w:rPr>
          <w:sz w:val="21"/>
          <w:szCs w:val="21"/>
        </w:rPr>
        <w:t>.</w:t>
      </w:r>
    </w:p>
    <w:p w:rsidR="00D026E3" w:rsidRPr="0070773A" w:rsidRDefault="00D026E3" w:rsidP="00D026E3">
      <w:pPr>
        <w:pStyle w:val="ListParagraph"/>
        <w:numPr>
          <w:ilvl w:val="0"/>
          <w:numId w:val="8"/>
        </w:numPr>
        <w:spacing w:after="0" w:line="276" w:lineRule="auto"/>
        <w:ind w:left="714" w:hanging="357"/>
        <w:rPr>
          <w:sz w:val="21"/>
          <w:szCs w:val="21"/>
          <w:lang w:eastAsia="en-AU"/>
        </w:rPr>
      </w:pPr>
      <w:r>
        <w:rPr>
          <w:rFonts w:cs="Arial"/>
          <w:sz w:val="21"/>
          <w:szCs w:val="21"/>
        </w:rPr>
        <w:t xml:space="preserve">The use of </w:t>
      </w:r>
      <w:hyperlink r:id="rId14" w:history="1">
        <w:r w:rsidRPr="00806B6F">
          <w:rPr>
            <w:rStyle w:val="Hyperlink"/>
            <w:rFonts w:cs="Arial"/>
            <w:i/>
            <w:sz w:val="21"/>
            <w:szCs w:val="21"/>
          </w:rPr>
          <w:t>WHS Regulation 2011</w:t>
        </w:r>
        <w:r w:rsidR="00362DF0">
          <w:rPr>
            <w:rStyle w:val="Hyperlink"/>
            <w:rFonts w:cs="Arial"/>
            <w:i/>
            <w:sz w:val="21"/>
            <w:szCs w:val="21"/>
          </w:rPr>
          <w:t xml:space="preserve"> (Qld)</w:t>
        </w:r>
        <w:r w:rsidRPr="00806B6F">
          <w:rPr>
            <w:rStyle w:val="Hyperlink"/>
            <w:rFonts w:cs="Arial"/>
            <w:i/>
            <w:sz w:val="21"/>
            <w:szCs w:val="21"/>
          </w:rPr>
          <w:t xml:space="preserve">, </w:t>
        </w:r>
        <w:r w:rsidR="00806B6F" w:rsidRPr="00806B6F">
          <w:rPr>
            <w:rStyle w:val="Hyperlink"/>
            <w:rFonts w:cs="Arial"/>
            <w:i/>
            <w:sz w:val="21"/>
            <w:szCs w:val="21"/>
          </w:rPr>
          <w:t>S</w:t>
        </w:r>
        <w:r w:rsidRPr="00806B6F">
          <w:rPr>
            <w:rStyle w:val="Hyperlink"/>
            <w:rFonts w:cs="Arial"/>
            <w:i/>
            <w:sz w:val="21"/>
            <w:szCs w:val="21"/>
          </w:rPr>
          <w:t>chedule 14</w:t>
        </w:r>
      </w:hyperlink>
      <w:r>
        <w:rPr>
          <w:rFonts w:cs="Arial"/>
          <w:sz w:val="21"/>
          <w:szCs w:val="21"/>
        </w:rPr>
        <w:t xml:space="preserve"> substances in a </w:t>
      </w:r>
      <w:r w:rsidRPr="006A6CC2">
        <w:rPr>
          <w:rFonts w:cs="Arial"/>
          <w:sz w:val="21"/>
          <w:szCs w:val="21"/>
        </w:rPr>
        <w:t>way that requires health monitoring</w:t>
      </w:r>
    </w:p>
    <w:p w:rsidR="00796F60" w:rsidRDefault="00796F60" w:rsidP="00CD2E92">
      <w:pPr>
        <w:pStyle w:val="Heading3"/>
        <w:spacing w:line="276" w:lineRule="auto"/>
      </w:pPr>
      <w:r w:rsidRPr="00796F60">
        <w:t xml:space="preserve">Prohibited </w:t>
      </w:r>
      <w:r>
        <w:t xml:space="preserve">– </w:t>
      </w:r>
      <w:r w:rsidR="00F25B93">
        <w:t xml:space="preserve">All </w:t>
      </w:r>
      <w:r w:rsidR="00702DAC">
        <w:t xml:space="preserve">department </w:t>
      </w:r>
      <w:r w:rsidR="00564DFF">
        <w:t>campuses</w:t>
      </w:r>
      <w:r w:rsidR="007212E6">
        <w:t xml:space="preserve"> </w:t>
      </w:r>
      <w:r w:rsidR="00806B6F">
        <w:t xml:space="preserve">with </w:t>
      </w:r>
      <w:r w:rsidR="007212E6">
        <w:t xml:space="preserve">years </w:t>
      </w:r>
      <w:r w:rsidR="0031307E">
        <w:t>K</w:t>
      </w:r>
      <w:r w:rsidR="007212E6">
        <w:t xml:space="preserve"> - 6 </w:t>
      </w:r>
      <w:r w:rsidR="00806B6F">
        <w:t>students</w:t>
      </w:r>
    </w:p>
    <w:p w:rsidR="00796F60" w:rsidRPr="007212E6" w:rsidRDefault="00796F60" w:rsidP="00CD2E92">
      <w:pPr>
        <w:pStyle w:val="Heading3"/>
        <w:spacing w:line="276" w:lineRule="auto"/>
        <w:rPr>
          <w:bCs w:val="0"/>
          <w:sz w:val="21"/>
          <w:szCs w:val="21"/>
        </w:rPr>
      </w:pPr>
      <w:r w:rsidRPr="007212E6">
        <w:rPr>
          <w:bCs w:val="0"/>
          <w:sz w:val="21"/>
          <w:szCs w:val="21"/>
        </w:rPr>
        <w:t>All state school</w:t>
      </w:r>
      <w:r w:rsidR="00564DFF">
        <w:rPr>
          <w:bCs w:val="0"/>
          <w:sz w:val="21"/>
          <w:szCs w:val="21"/>
        </w:rPr>
        <w:t xml:space="preserve"> campuses</w:t>
      </w:r>
      <w:r w:rsidR="007212E6">
        <w:rPr>
          <w:bCs w:val="0"/>
          <w:sz w:val="21"/>
          <w:szCs w:val="21"/>
        </w:rPr>
        <w:t xml:space="preserve"> where </w:t>
      </w:r>
      <w:r w:rsidR="00564DFF">
        <w:rPr>
          <w:bCs w:val="0"/>
          <w:sz w:val="21"/>
          <w:szCs w:val="21"/>
        </w:rPr>
        <w:t xml:space="preserve">kindergarten </w:t>
      </w:r>
      <w:r w:rsidR="007212E6">
        <w:rPr>
          <w:bCs w:val="0"/>
          <w:sz w:val="21"/>
          <w:szCs w:val="21"/>
        </w:rPr>
        <w:t xml:space="preserve">to year 6 students attend </w:t>
      </w:r>
      <w:r w:rsidRPr="007212E6">
        <w:rPr>
          <w:bCs w:val="0"/>
          <w:sz w:val="21"/>
          <w:szCs w:val="21"/>
        </w:rPr>
        <w:t>are prohibited from purchasing and using schedule 7 poisons*</w:t>
      </w:r>
      <w:r w:rsidR="00852717">
        <w:rPr>
          <w:bCs w:val="0"/>
          <w:sz w:val="21"/>
          <w:szCs w:val="21"/>
        </w:rPr>
        <w:t xml:space="preserve"> under the </w:t>
      </w:r>
      <w:hyperlink r:id="rId15" w:history="1">
        <w:r w:rsidR="00852717" w:rsidRPr="00362DF0">
          <w:rPr>
            <w:rStyle w:val="Hyperlink"/>
            <w:bCs w:val="0"/>
            <w:i/>
            <w:sz w:val="21"/>
            <w:szCs w:val="21"/>
          </w:rPr>
          <w:t>Health (Drugs and Poisons) Regulation 1996 (Qld)</w:t>
        </w:r>
      </w:hyperlink>
      <w:r w:rsidRPr="007212E6">
        <w:rPr>
          <w:bCs w:val="0"/>
          <w:sz w:val="21"/>
          <w:szCs w:val="21"/>
        </w:rPr>
        <w:t>.</w:t>
      </w:r>
    </w:p>
    <w:p w:rsidR="00CD2E92" w:rsidRPr="000E28F0" w:rsidRDefault="00CD2E92" w:rsidP="00CD2E92">
      <w:pPr>
        <w:pStyle w:val="Heading3"/>
        <w:spacing w:line="276" w:lineRule="auto"/>
      </w:pPr>
      <w:r w:rsidRPr="000E28F0">
        <w:t xml:space="preserve">Prohibited </w:t>
      </w:r>
      <w:r w:rsidR="00D82B9B">
        <w:t>–</w:t>
      </w:r>
      <w:r w:rsidRPr="000E28F0">
        <w:t xml:space="preserve"> Schools Officers </w:t>
      </w:r>
      <w:bookmarkEnd w:id="11"/>
      <w:bookmarkEnd w:id="12"/>
      <w:bookmarkEnd w:id="13"/>
      <w:bookmarkEnd w:id="14"/>
      <w:bookmarkEnd w:id="15"/>
      <w:bookmarkEnd w:id="16"/>
      <w:bookmarkEnd w:id="17"/>
      <w:r w:rsidR="00F25B93">
        <w:t>in department schools</w:t>
      </w:r>
    </w:p>
    <w:p w:rsidR="00CD2E92" w:rsidRPr="00702DAC" w:rsidRDefault="00CD2E92" w:rsidP="00CD2E92">
      <w:pPr>
        <w:spacing w:line="276" w:lineRule="auto"/>
        <w:rPr>
          <w:rFonts w:cs="Arial"/>
          <w:sz w:val="21"/>
          <w:szCs w:val="21"/>
        </w:rPr>
      </w:pPr>
      <w:bookmarkStart w:id="18" w:name="_Toc266950191"/>
      <w:r w:rsidRPr="00702DAC">
        <w:rPr>
          <w:rFonts w:cs="Arial"/>
          <w:sz w:val="21"/>
          <w:szCs w:val="21"/>
        </w:rPr>
        <w:t xml:space="preserve">The following chemicals have been prohibited for use by schools officers in </w:t>
      </w:r>
      <w:r w:rsidR="00702DAC" w:rsidRPr="00702DAC">
        <w:rPr>
          <w:rFonts w:cs="Arial"/>
          <w:sz w:val="21"/>
          <w:szCs w:val="21"/>
        </w:rPr>
        <w:t>department</w:t>
      </w:r>
      <w:r w:rsidRPr="00702DAC">
        <w:rPr>
          <w:rFonts w:cs="Arial"/>
          <w:sz w:val="21"/>
          <w:szCs w:val="21"/>
        </w:rPr>
        <w:t xml:space="preserve"> schools for pest management. There are alternative, effective and less hazardous substances that can be used as herbicides and pesticides </w:t>
      </w:r>
      <w:r w:rsidR="002A5D5B">
        <w:rPr>
          <w:rFonts w:cs="Arial"/>
          <w:sz w:val="21"/>
          <w:szCs w:val="21"/>
        </w:rPr>
        <w:t>which</w:t>
      </w:r>
      <w:r w:rsidR="002A5D5B" w:rsidRPr="00702DAC">
        <w:rPr>
          <w:rFonts w:cs="Arial"/>
          <w:sz w:val="21"/>
          <w:szCs w:val="21"/>
        </w:rPr>
        <w:t xml:space="preserve"> </w:t>
      </w:r>
      <w:r w:rsidRPr="00702DAC">
        <w:rPr>
          <w:rFonts w:cs="Arial"/>
          <w:sz w:val="21"/>
          <w:szCs w:val="21"/>
        </w:rPr>
        <w:t xml:space="preserve">pose lesser health and environmental risks and do not necessitate health monitoring as required by the </w:t>
      </w:r>
      <w:hyperlink r:id="rId16" w:history="1">
        <w:r w:rsidRPr="00362DF0">
          <w:rPr>
            <w:rStyle w:val="Hyperlink"/>
            <w:rFonts w:cs="Arial"/>
            <w:sz w:val="21"/>
            <w:szCs w:val="21"/>
          </w:rPr>
          <w:t>WHS Regulation 2011</w:t>
        </w:r>
      </w:hyperlink>
      <w:r w:rsidRPr="00702DAC">
        <w:rPr>
          <w:rFonts w:cs="Arial"/>
          <w:sz w:val="21"/>
          <w:szCs w:val="21"/>
        </w:rPr>
        <w:t xml:space="preserve">. </w:t>
      </w:r>
    </w:p>
    <w:p w:rsidR="00CD2E92" w:rsidRPr="00702DAC" w:rsidRDefault="00CD2E92" w:rsidP="00CD2E92">
      <w:pPr>
        <w:pStyle w:val="ListParagraph"/>
        <w:numPr>
          <w:ilvl w:val="0"/>
          <w:numId w:val="7"/>
        </w:numPr>
        <w:spacing w:after="0" w:line="276" w:lineRule="auto"/>
        <w:rPr>
          <w:rFonts w:cs="Arial"/>
          <w:sz w:val="21"/>
          <w:szCs w:val="21"/>
        </w:rPr>
      </w:pPr>
      <w:r w:rsidRPr="00702DAC">
        <w:rPr>
          <w:rFonts w:cs="Arial"/>
          <w:sz w:val="21"/>
          <w:szCs w:val="21"/>
        </w:rPr>
        <w:t xml:space="preserve">Schedule 6 poisons* </w:t>
      </w:r>
    </w:p>
    <w:p w:rsidR="00CD2E92" w:rsidRPr="00702DAC" w:rsidRDefault="00CD2E92" w:rsidP="00CD2E92">
      <w:pPr>
        <w:pStyle w:val="ListParagraph"/>
        <w:numPr>
          <w:ilvl w:val="0"/>
          <w:numId w:val="7"/>
        </w:numPr>
        <w:spacing w:after="0" w:line="276" w:lineRule="auto"/>
        <w:rPr>
          <w:rFonts w:cs="Arial"/>
          <w:sz w:val="21"/>
          <w:szCs w:val="21"/>
        </w:rPr>
      </w:pPr>
      <w:bookmarkStart w:id="19" w:name="_Toc266950192"/>
      <w:r w:rsidRPr="00702DAC">
        <w:rPr>
          <w:rFonts w:cs="Arial"/>
          <w:sz w:val="21"/>
          <w:szCs w:val="21"/>
        </w:rPr>
        <w:t>Schedule 7 poisons</w:t>
      </w:r>
      <w:bookmarkEnd w:id="19"/>
      <w:r w:rsidRPr="00702DAC">
        <w:rPr>
          <w:rFonts w:cs="Arial"/>
          <w:sz w:val="21"/>
          <w:szCs w:val="21"/>
        </w:rPr>
        <w:t>*</w:t>
      </w:r>
    </w:p>
    <w:p w:rsidR="00CD2E92" w:rsidRPr="00702DAC" w:rsidRDefault="00CD2E92" w:rsidP="00CD2E92">
      <w:pPr>
        <w:pStyle w:val="ListParagraph"/>
        <w:numPr>
          <w:ilvl w:val="0"/>
          <w:numId w:val="7"/>
        </w:numPr>
        <w:spacing w:after="0" w:line="276" w:lineRule="auto"/>
        <w:rPr>
          <w:rFonts w:cs="Arial"/>
          <w:sz w:val="21"/>
          <w:szCs w:val="21"/>
          <w:lang w:val="fr-FR"/>
        </w:rPr>
      </w:pPr>
      <w:bookmarkStart w:id="20" w:name="_Toc266950193"/>
      <w:proofErr w:type="spellStart"/>
      <w:r w:rsidRPr="00702DAC">
        <w:rPr>
          <w:rFonts w:cs="Arial"/>
          <w:sz w:val="21"/>
          <w:szCs w:val="21"/>
          <w:lang w:val="fr-FR"/>
        </w:rPr>
        <w:t>Organophosphate</w:t>
      </w:r>
      <w:proofErr w:type="spellEnd"/>
      <w:r w:rsidRPr="00702DAC">
        <w:rPr>
          <w:rFonts w:cs="Arial"/>
          <w:sz w:val="21"/>
          <w:szCs w:val="21"/>
          <w:lang w:val="fr-FR"/>
        </w:rPr>
        <w:t xml:space="preserve"> pesticides</w:t>
      </w:r>
      <w:bookmarkEnd w:id="20"/>
      <w:r w:rsidRPr="00702DAC">
        <w:rPr>
          <w:rFonts w:cs="Arial"/>
          <w:sz w:val="21"/>
          <w:szCs w:val="21"/>
          <w:lang w:val="fr-FR"/>
        </w:rPr>
        <w:t xml:space="preserve"> (</w:t>
      </w:r>
      <w:proofErr w:type="spellStart"/>
      <w:r w:rsidRPr="00702DAC">
        <w:rPr>
          <w:rFonts w:cs="Arial"/>
          <w:sz w:val="21"/>
          <w:szCs w:val="21"/>
          <w:lang w:val="fr-FR"/>
        </w:rPr>
        <w:t>e.g</w:t>
      </w:r>
      <w:proofErr w:type="spellEnd"/>
      <w:r w:rsidRPr="00702DAC">
        <w:rPr>
          <w:rFonts w:cs="Arial"/>
          <w:sz w:val="21"/>
          <w:szCs w:val="21"/>
          <w:lang w:val="fr-FR"/>
        </w:rPr>
        <w:t xml:space="preserve">. </w:t>
      </w:r>
      <w:proofErr w:type="spellStart"/>
      <w:r w:rsidRPr="00702DAC">
        <w:rPr>
          <w:rFonts w:cs="Arial"/>
          <w:sz w:val="21"/>
          <w:szCs w:val="21"/>
          <w:lang w:val="fr-FR"/>
        </w:rPr>
        <w:t>Chlorpyrifos</w:t>
      </w:r>
      <w:proofErr w:type="spellEnd"/>
      <w:r w:rsidRPr="00702DAC">
        <w:rPr>
          <w:rFonts w:cs="Arial"/>
          <w:sz w:val="21"/>
          <w:szCs w:val="21"/>
          <w:lang w:val="fr-FR"/>
        </w:rPr>
        <w:t xml:space="preserve">, </w:t>
      </w:r>
      <w:proofErr w:type="spellStart"/>
      <w:r w:rsidRPr="00702DAC">
        <w:rPr>
          <w:rFonts w:cs="Arial"/>
          <w:sz w:val="21"/>
          <w:szCs w:val="21"/>
          <w:lang w:val="fr-FR"/>
        </w:rPr>
        <w:t>Malathion</w:t>
      </w:r>
      <w:proofErr w:type="spellEnd"/>
      <w:r w:rsidRPr="00702DAC">
        <w:rPr>
          <w:rFonts w:cs="Arial"/>
          <w:sz w:val="21"/>
          <w:szCs w:val="21"/>
          <w:lang w:val="fr-FR"/>
        </w:rPr>
        <w:t>)</w:t>
      </w:r>
    </w:p>
    <w:p w:rsidR="00CD2E92" w:rsidRPr="00702DAC" w:rsidRDefault="00CD2E92" w:rsidP="00CD2E92">
      <w:pPr>
        <w:pStyle w:val="ListParagraph"/>
        <w:numPr>
          <w:ilvl w:val="0"/>
          <w:numId w:val="7"/>
        </w:numPr>
        <w:spacing w:after="0" w:line="276" w:lineRule="auto"/>
        <w:rPr>
          <w:rFonts w:cs="Arial"/>
          <w:sz w:val="21"/>
          <w:szCs w:val="21"/>
        </w:rPr>
      </w:pPr>
      <w:bookmarkStart w:id="21" w:name="_Toc266950194"/>
      <w:r w:rsidRPr="00702DAC">
        <w:rPr>
          <w:rFonts w:cs="Arial"/>
          <w:sz w:val="21"/>
          <w:szCs w:val="21"/>
        </w:rPr>
        <w:t>Creosote</w:t>
      </w:r>
      <w:bookmarkEnd w:id="21"/>
    </w:p>
    <w:p w:rsidR="00CD2E92" w:rsidRPr="00702DAC" w:rsidRDefault="00CD2E92" w:rsidP="00AE0CD6">
      <w:pPr>
        <w:pStyle w:val="ListParagraph"/>
        <w:numPr>
          <w:ilvl w:val="0"/>
          <w:numId w:val="7"/>
        </w:numPr>
        <w:spacing w:after="240" w:line="276" w:lineRule="auto"/>
        <w:rPr>
          <w:rFonts w:cs="Arial"/>
          <w:sz w:val="21"/>
          <w:szCs w:val="21"/>
        </w:rPr>
      </w:pPr>
      <w:bookmarkStart w:id="22" w:name="_Toc266950195"/>
      <w:r w:rsidRPr="00702DAC">
        <w:rPr>
          <w:rFonts w:cs="Arial"/>
          <w:sz w:val="21"/>
          <w:szCs w:val="21"/>
        </w:rPr>
        <w:t>2,4-D based herbicides</w:t>
      </w:r>
      <w:bookmarkEnd w:id="22"/>
    </w:p>
    <w:p w:rsidR="00CD2E92" w:rsidRPr="00702DAC" w:rsidRDefault="00CD2E92" w:rsidP="00CD2E92">
      <w:pPr>
        <w:spacing w:line="276" w:lineRule="auto"/>
        <w:rPr>
          <w:rFonts w:cs="Arial"/>
          <w:sz w:val="21"/>
          <w:szCs w:val="21"/>
        </w:rPr>
      </w:pPr>
      <w:r w:rsidRPr="00702DAC">
        <w:rPr>
          <w:rFonts w:cs="Arial"/>
          <w:sz w:val="21"/>
          <w:szCs w:val="21"/>
        </w:rPr>
        <w:t>Refer to the product SDS (section 3) to identify organophosphate and 2</w:t>
      </w:r>
      <w:proofErr w:type="gramStart"/>
      <w:r w:rsidRPr="00702DAC">
        <w:rPr>
          <w:rFonts w:cs="Arial"/>
          <w:sz w:val="21"/>
          <w:szCs w:val="21"/>
        </w:rPr>
        <w:t>,4</w:t>
      </w:r>
      <w:proofErr w:type="gramEnd"/>
      <w:r w:rsidRPr="00702DAC">
        <w:rPr>
          <w:rFonts w:cs="Arial"/>
          <w:sz w:val="21"/>
          <w:szCs w:val="21"/>
        </w:rPr>
        <w:t xml:space="preserve">-D ingredients </w:t>
      </w:r>
      <w:r w:rsidR="00D026E3" w:rsidRPr="00702DAC">
        <w:rPr>
          <w:rFonts w:cs="Arial"/>
          <w:sz w:val="21"/>
          <w:szCs w:val="21"/>
        </w:rPr>
        <w:t xml:space="preserve">and SDS sections 2 and/or 15 to identify the poison schedule </w:t>
      </w:r>
      <w:r w:rsidRPr="00702DAC">
        <w:rPr>
          <w:rFonts w:cs="Arial"/>
          <w:sz w:val="21"/>
          <w:szCs w:val="21"/>
        </w:rPr>
        <w:t>before purchasing herbicides, pesticides, insecticides and fungicides.</w:t>
      </w:r>
      <w:r w:rsidR="00D026E3" w:rsidRPr="00702DAC">
        <w:rPr>
          <w:rFonts w:cs="Arial"/>
          <w:sz w:val="21"/>
          <w:szCs w:val="21"/>
        </w:rPr>
        <w:t xml:space="preserve"> This information can also be found on the product label.</w:t>
      </w:r>
    </w:p>
    <w:p w:rsidR="00796F60" w:rsidRPr="000A7439" w:rsidRDefault="00796F60" w:rsidP="00796F60">
      <w:pPr>
        <w:spacing w:line="276" w:lineRule="auto"/>
        <w:rPr>
          <w:rFonts w:cs="Arial"/>
          <w:sz w:val="21"/>
          <w:szCs w:val="21"/>
        </w:rPr>
      </w:pPr>
      <w:bookmarkStart w:id="23" w:name="_Toc317078397"/>
      <w:bookmarkStart w:id="24" w:name="_Toc317078632"/>
      <w:bookmarkStart w:id="25" w:name="_Toc266950196"/>
      <w:bookmarkStart w:id="26" w:name="_Toc268192925"/>
      <w:bookmarkEnd w:id="18"/>
      <w:r w:rsidRPr="000A7439">
        <w:rPr>
          <w:rFonts w:cs="Arial"/>
          <w:sz w:val="21"/>
          <w:szCs w:val="21"/>
        </w:rPr>
        <w:t xml:space="preserve">Schools officers are permitted to use S6 and S7 poisons (such as pool chemicals) as long as they are not prescribed for use as pesticides, insecticides, fungicides, </w:t>
      </w:r>
      <w:proofErr w:type="spellStart"/>
      <w:r w:rsidRPr="000A7439">
        <w:rPr>
          <w:rFonts w:cs="Arial"/>
          <w:sz w:val="21"/>
          <w:szCs w:val="21"/>
        </w:rPr>
        <w:t>algicides</w:t>
      </w:r>
      <w:proofErr w:type="spellEnd"/>
      <w:r w:rsidRPr="000A7439">
        <w:rPr>
          <w:rFonts w:cs="Arial"/>
          <w:sz w:val="21"/>
          <w:szCs w:val="21"/>
        </w:rPr>
        <w:t xml:space="preserve"> OR herbicides. </w:t>
      </w:r>
    </w:p>
    <w:p w:rsidR="00CD2E92" w:rsidRPr="00AE0CD6" w:rsidRDefault="00CD2E92" w:rsidP="00CD2E92">
      <w:pPr>
        <w:spacing w:line="276" w:lineRule="auto"/>
        <w:rPr>
          <w:rFonts w:cs="Arial"/>
          <w:color w:val="000000"/>
          <w:sz w:val="18"/>
          <w:szCs w:val="16"/>
        </w:rPr>
      </w:pPr>
      <w:r w:rsidRPr="00AE0CD6">
        <w:rPr>
          <w:rFonts w:cs="Arial"/>
          <w:color w:val="000000"/>
          <w:sz w:val="18"/>
          <w:szCs w:val="16"/>
        </w:rPr>
        <w:lastRenderedPageBreak/>
        <w:t xml:space="preserve">*Poisons are categorised into schedules - the higher the number of the schedule, the higher risk of harm to humans. </w:t>
      </w:r>
      <w:r w:rsidRPr="00AE0CD6">
        <w:rPr>
          <w:rFonts w:cs="Arial"/>
          <w:b/>
          <w:color w:val="000000"/>
          <w:sz w:val="18"/>
          <w:szCs w:val="16"/>
        </w:rPr>
        <w:t>Schedule 6</w:t>
      </w:r>
      <w:r w:rsidRPr="00AE0CD6">
        <w:rPr>
          <w:rFonts w:cs="Arial"/>
          <w:color w:val="000000"/>
          <w:sz w:val="18"/>
          <w:szCs w:val="16"/>
        </w:rPr>
        <w:t xml:space="preserve"> (S6) poisons have distinctive packaging and have a clear warning of POISON along with safety directions on the product label. These substances must be kept out of reach of children. These poisons have potential for causing harm to humans.</w:t>
      </w:r>
    </w:p>
    <w:p w:rsidR="00CD2E92" w:rsidRPr="00AE0CD6" w:rsidRDefault="00CD2E92" w:rsidP="00CD2E92">
      <w:pPr>
        <w:spacing w:line="276" w:lineRule="auto"/>
        <w:rPr>
          <w:rFonts w:cs="Arial"/>
          <w:color w:val="000000"/>
          <w:sz w:val="18"/>
          <w:szCs w:val="16"/>
        </w:rPr>
      </w:pPr>
      <w:r w:rsidRPr="00AE0CD6">
        <w:rPr>
          <w:rFonts w:cs="Arial"/>
          <w:b/>
          <w:color w:val="000000"/>
          <w:sz w:val="18"/>
          <w:szCs w:val="16"/>
        </w:rPr>
        <w:t xml:space="preserve">*Schedule 7 </w:t>
      </w:r>
      <w:r w:rsidRPr="00AE0CD6">
        <w:rPr>
          <w:rFonts w:cs="Arial"/>
          <w:color w:val="000000"/>
          <w:sz w:val="18"/>
          <w:szCs w:val="16"/>
        </w:rPr>
        <w:t>(S7)</w:t>
      </w:r>
      <w:r w:rsidRPr="00AE0CD6">
        <w:rPr>
          <w:rFonts w:cs="Arial"/>
          <w:b/>
          <w:color w:val="000000"/>
          <w:sz w:val="18"/>
          <w:szCs w:val="16"/>
        </w:rPr>
        <w:t xml:space="preserve"> </w:t>
      </w:r>
      <w:r w:rsidRPr="00AE0CD6">
        <w:rPr>
          <w:rFonts w:cs="Arial"/>
          <w:color w:val="000000"/>
          <w:sz w:val="18"/>
          <w:szCs w:val="16"/>
        </w:rPr>
        <w:t xml:space="preserve">poisons are substances that have a high potential for causing harm to humans and includes strychnine, cyanide and hazardous </w:t>
      </w:r>
      <w:r w:rsidR="00796F60">
        <w:rPr>
          <w:rFonts w:cs="Arial"/>
          <w:color w:val="000000"/>
          <w:sz w:val="18"/>
          <w:szCs w:val="16"/>
        </w:rPr>
        <w:t xml:space="preserve">laboratory reagents, </w:t>
      </w:r>
      <w:r w:rsidRPr="00AE0CD6">
        <w:rPr>
          <w:rFonts w:cs="Arial"/>
          <w:color w:val="000000"/>
          <w:sz w:val="18"/>
          <w:szCs w:val="16"/>
        </w:rPr>
        <w:t xml:space="preserve">agricultural and veterinary chemicals. They have a clear warning of DANGEROUS POISON on the label. These substances must also be kept out of reach of children. S7 poisons are listed in the </w:t>
      </w:r>
      <w:hyperlink r:id="rId17" w:history="1">
        <w:r w:rsidRPr="00EF7CFA">
          <w:rPr>
            <w:rStyle w:val="Hyperlink"/>
            <w:rFonts w:cs="Arial"/>
            <w:i/>
            <w:sz w:val="18"/>
            <w:szCs w:val="16"/>
          </w:rPr>
          <w:t>Health (Drugs and Poisons) Regulation 1996 (Qld) - Appendix 7 (p283)</w:t>
        </w:r>
      </w:hyperlink>
      <w:r w:rsidRPr="00AE0CD6">
        <w:rPr>
          <w:rFonts w:cs="Arial"/>
          <w:color w:val="000000"/>
          <w:sz w:val="18"/>
          <w:szCs w:val="16"/>
        </w:rPr>
        <w:t xml:space="preserve"> </w:t>
      </w:r>
    </w:p>
    <w:p w:rsidR="00CD2E92" w:rsidRDefault="00CD2E92" w:rsidP="00CD2E92">
      <w:pPr>
        <w:pStyle w:val="Heading3"/>
        <w:spacing w:line="276" w:lineRule="auto"/>
      </w:pPr>
      <w:bookmarkStart w:id="27" w:name="_Toc327364211"/>
      <w:bookmarkStart w:id="28" w:name="_Toc328728982"/>
      <w:bookmarkStart w:id="29" w:name="_Toc330813243"/>
      <w:r w:rsidRPr="00A61BC8">
        <w:t xml:space="preserve">Prohibited – Cleaners </w:t>
      </w:r>
      <w:r w:rsidR="00702DAC" w:rsidRPr="00A61BC8">
        <w:t>in all department s</w:t>
      </w:r>
      <w:r w:rsidRPr="00A61BC8">
        <w:t>chools</w:t>
      </w:r>
      <w:bookmarkEnd w:id="23"/>
      <w:bookmarkEnd w:id="24"/>
      <w:bookmarkEnd w:id="27"/>
      <w:bookmarkEnd w:id="28"/>
      <w:bookmarkEnd w:id="29"/>
    </w:p>
    <w:p w:rsidR="00885074" w:rsidRDefault="00885074" w:rsidP="00885074">
      <w:pPr>
        <w:spacing w:line="276" w:lineRule="auto"/>
        <w:rPr>
          <w:rFonts w:cs="Arial"/>
          <w:sz w:val="21"/>
          <w:szCs w:val="20"/>
        </w:rPr>
      </w:pPr>
      <w:r w:rsidRPr="00A61BC8">
        <w:rPr>
          <w:rFonts w:cs="Arial"/>
          <w:sz w:val="21"/>
          <w:szCs w:val="20"/>
        </w:rPr>
        <w:t xml:space="preserve">School cleaners must only use chemicals listed on the mandatory </w:t>
      </w:r>
      <w:hyperlink r:id="rId18" w:history="1">
        <w:r w:rsidRPr="00A61BC8">
          <w:rPr>
            <w:rFonts w:cs="Arial"/>
            <w:color w:val="0000FF"/>
            <w:sz w:val="21"/>
            <w:szCs w:val="20"/>
            <w:u w:val="single"/>
          </w:rPr>
          <w:t>standing offer arrangement</w:t>
        </w:r>
      </w:hyperlink>
      <w:r w:rsidRPr="00A61BC8">
        <w:rPr>
          <w:rFonts w:cs="Arial"/>
          <w:sz w:val="21"/>
          <w:szCs w:val="20"/>
        </w:rPr>
        <w:t xml:space="preserve"> (SOA) provided by the department. </w:t>
      </w:r>
      <w:r>
        <w:rPr>
          <w:rFonts w:cs="Arial"/>
          <w:sz w:val="21"/>
          <w:szCs w:val="20"/>
        </w:rPr>
        <w:t>Household cleaning products are not permitted.</w:t>
      </w:r>
    </w:p>
    <w:p w:rsidR="00885074" w:rsidRDefault="00CD2E92" w:rsidP="00CD2E92">
      <w:pPr>
        <w:pStyle w:val="ListParagraph"/>
        <w:numPr>
          <w:ilvl w:val="0"/>
          <w:numId w:val="8"/>
        </w:numPr>
        <w:spacing w:line="276" w:lineRule="auto"/>
        <w:rPr>
          <w:rFonts w:cs="Arial"/>
          <w:sz w:val="21"/>
          <w:szCs w:val="21"/>
        </w:rPr>
      </w:pPr>
      <w:r w:rsidRPr="00A61BC8">
        <w:rPr>
          <w:rFonts w:cs="Arial"/>
          <w:sz w:val="21"/>
          <w:szCs w:val="21"/>
        </w:rPr>
        <w:t>Bleach (this includes all derivatives of bleach products and all brands)</w:t>
      </w:r>
      <w:r w:rsidR="00885074">
        <w:rPr>
          <w:rFonts w:cs="Arial"/>
          <w:sz w:val="21"/>
          <w:szCs w:val="21"/>
        </w:rPr>
        <w:t xml:space="preserve"> is not permitted for </w:t>
      </w:r>
      <w:r w:rsidR="00885074" w:rsidRPr="00885074">
        <w:rPr>
          <w:rFonts w:cs="Arial"/>
          <w:sz w:val="21"/>
          <w:szCs w:val="21"/>
        </w:rPr>
        <w:t>everyday general cleaning purposes</w:t>
      </w:r>
      <w:r w:rsidRPr="00A61BC8">
        <w:rPr>
          <w:rFonts w:cs="Arial"/>
          <w:sz w:val="21"/>
          <w:szCs w:val="21"/>
        </w:rPr>
        <w:t xml:space="preserve">. </w:t>
      </w:r>
    </w:p>
    <w:p w:rsidR="00CD2E92" w:rsidRPr="00A61BC8" w:rsidRDefault="00CD2E92" w:rsidP="00885074">
      <w:pPr>
        <w:pStyle w:val="ListParagraph"/>
        <w:numPr>
          <w:ilvl w:val="0"/>
          <w:numId w:val="0"/>
        </w:numPr>
        <w:spacing w:line="276" w:lineRule="auto"/>
        <w:ind w:left="720"/>
        <w:rPr>
          <w:rFonts w:cs="Arial"/>
          <w:sz w:val="21"/>
          <w:szCs w:val="21"/>
        </w:rPr>
      </w:pPr>
      <w:r w:rsidRPr="00A61BC8">
        <w:rPr>
          <w:rFonts w:cs="Arial"/>
          <w:sz w:val="21"/>
          <w:szCs w:val="21"/>
        </w:rPr>
        <w:t>Note</w:t>
      </w:r>
      <w:r w:rsidR="00E46A22" w:rsidRPr="00A61BC8">
        <w:rPr>
          <w:rFonts w:cs="Arial"/>
          <w:sz w:val="21"/>
          <w:szCs w:val="21"/>
        </w:rPr>
        <w:t xml:space="preserve">: </w:t>
      </w:r>
      <w:r w:rsidR="00A61BC8">
        <w:rPr>
          <w:rFonts w:cs="Arial"/>
          <w:sz w:val="21"/>
          <w:szCs w:val="21"/>
        </w:rPr>
        <w:t xml:space="preserve">a </w:t>
      </w:r>
      <w:r w:rsidR="00E46A22" w:rsidRPr="00A61BC8">
        <w:rPr>
          <w:rFonts w:cs="Arial"/>
          <w:sz w:val="21"/>
          <w:szCs w:val="21"/>
        </w:rPr>
        <w:t xml:space="preserve">specified </w:t>
      </w:r>
      <w:r w:rsidRPr="00A61BC8">
        <w:rPr>
          <w:rFonts w:cs="Arial"/>
          <w:sz w:val="21"/>
          <w:szCs w:val="21"/>
        </w:rPr>
        <w:t xml:space="preserve">bleach </w:t>
      </w:r>
      <w:r w:rsidR="00E46A22" w:rsidRPr="00A61BC8">
        <w:rPr>
          <w:rFonts w:cs="Arial"/>
          <w:sz w:val="21"/>
          <w:szCs w:val="21"/>
        </w:rPr>
        <w:t xml:space="preserve">product </w:t>
      </w:r>
      <w:r w:rsidR="00885074">
        <w:rPr>
          <w:rFonts w:cs="Arial"/>
          <w:sz w:val="21"/>
          <w:szCs w:val="21"/>
        </w:rPr>
        <w:t xml:space="preserve">from the SOA </w:t>
      </w:r>
      <w:r w:rsidRPr="00A61BC8">
        <w:rPr>
          <w:rFonts w:cs="Arial"/>
          <w:sz w:val="21"/>
          <w:szCs w:val="21"/>
        </w:rPr>
        <w:t xml:space="preserve">may be used when specifically directed by a supervisor </w:t>
      </w:r>
      <w:r w:rsidR="00A65E4B" w:rsidRPr="00A61BC8">
        <w:rPr>
          <w:rFonts w:cs="Arial"/>
          <w:sz w:val="21"/>
          <w:szCs w:val="21"/>
        </w:rPr>
        <w:t>for infection control cleaning</w:t>
      </w:r>
      <w:r w:rsidR="005E5F72" w:rsidRPr="00A61BC8">
        <w:rPr>
          <w:rFonts w:cs="Arial"/>
          <w:sz w:val="21"/>
          <w:szCs w:val="21"/>
        </w:rPr>
        <w:t xml:space="preserve"> or mould removal</w:t>
      </w:r>
      <w:r w:rsidRPr="00A61BC8">
        <w:rPr>
          <w:rFonts w:cs="Arial"/>
          <w:sz w:val="21"/>
          <w:szCs w:val="21"/>
        </w:rPr>
        <w:t>.</w:t>
      </w:r>
    </w:p>
    <w:p w:rsidR="00CD2E92" w:rsidRPr="00CD2E92" w:rsidRDefault="00CD2E92" w:rsidP="00CD2E92">
      <w:pPr>
        <w:spacing w:line="276" w:lineRule="auto"/>
        <w:rPr>
          <w:rFonts w:cs="Arial"/>
          <w:sz w:val="21"/>
          <w:szCs w:val="20"/>
        </w:rPr>
      </w:pPr>
      <w:bookmarkStart w:id="30" w:name="_Toc268192927"/>
      <w:bookmarkStart w:id="31" w:name="_Toc317078398"/>
      <w:bookmarkStart w:id="32" w:name="_Toc317078633"/>
      <w:bookmarkStart w:id="33" w:name="_Toc327364212"/>
      <w:bookmarkStart w:id="34" w:name="_Toc328728983"/>
      <w:bookmarkEnd w:id="25"/>
      <w:bookmarkEnd w:id="26"/>
      <w:r w:rsidRPr="00A61BC8">
        <w:rPr>
          <w:rFonts w:cs="Arial"/>
          <w:sz w:val="21"/>
          <w:szCs w:val="20"/>
        </w:rPr>
        <w:t xml:space="preserve">If an employee has a requirement to purchase a chemical that is not on the </w:t>
      </w:r>
      <w:r w:rsidR="00E46A22" w:rsidRPr="00A61BC8">
        <w:rPr>
          <w:rFonts w:cs="Arial"/>
          <w:sz w:val="21"/>
          <w:szCs w:val="20"/>
        </w:rPr>
        <w:t>SOA</w:t>
      </w:r>
      <w:r w:rsidR="00852717" w:rsidRPr="00A61BC8">
        <w:rPr>
          <w:rFonts w:cs="Arial"/>
          <w:sz w:val="21"/>
          <w:szCs w:val="20"/>
        </w:rPr>
        <w:t xml:space="preserve"> </w:t>
      </w:r>
      <w:r w:rsidRPr="00A61BC8">
        <w:rPr>
          <w:rFonts w:cs="Arial"/>
          <w:sz w:val="21"/>
          <w:szCs w:val="20"/>
        </w:rPr>
        <w:t xml:space="preserve">list or already approved for use, the </w:t>
      </w:r>
      <w:r w:rsidR="002A5D5B" w:rsidRPr="00A61BC8">
        <w:rPr>
          <w:rFonts w:cs="Arial"/>
          <w:sz w:val="21"/>
          <w:szCs w:val="20"/>
        </w:rPr>
        <w:t xml:space="preserve">employee </w:t>
      </w:r>
      <w:r w:rsidRPr="00A61BC8">
        <w:rPr>
          <w:rFonts w:cs="Arial"/>
          <w:sz w:val="21"/>
          <w:szCs w:val="20"/>
        </w:rPr>
        <w:t xml:space="preserve">must obtain approval from their principal/manager or their delegate. </w:t>
      </w:r>
      <w:r w:rsidR="00A61BC8">
        <w:rPr>
          <w:rFonts w:cs="Arial"/>
          <w:sz w:val="21"/>
          <w:szCs w:val="20"/>
        </w:rPr>
        <w:t xml:space="preserve"> Use the </w:t>
      </w:r>
      <w:hyperlink r:id="rId19" w:history="1">
        <w:proofErr w:type="spellStart"/>
        <w:r w:rsidR="00A61BC8" w:rsidRPr="00A61BC8">
          <w:rPr>
            <w:rStyle w:val="Hyperlink"/>
            <w:rFonts w:cs="Arial"/>
            <w:sz w:val="21"/>
            <w:szCs w:val="20"/>
          </w:rPr>
          <w:t>chemica</w:t>
        </w:r>
        <w:proofErr w:type="spellEnd"/>
        <w:r w:rsidR="00852717" w:rsidRPr="00A61BC8">
          <w:rPr>
            <w:rStyle w:val="Hyperlink"/>
            <w:rFonts w:cs="Arial"/>
            <w:sz w:val="21"/>
            <w:szCs w:val="20"/>
            <w:lang w:val="en-US"/>
          </w:rPr>
          <w:t>l pre-purchase risk assessment</w:t>
        </w:r>
      </w:hyperlink>
      <w:r w:rsidR="00852717" w:rsidRPr="00A61BC8">
        <w:rPr>
          <w:rFonts w:cs="Arial"/>
          <w:color w:val="000000"/>
          <w:sz w:val="21"/>
          <w:szCs w:val="20"/>
          <w:lang w:val="en-US"/>
        </w:rPr>
        <w:t xml:space="preserve"> </w:t>
      </w:r>
      <w:r w:rsidR="00A61BC8">
        <w:rPr>
          <w:rFonts w:cs="Arial"/>
          <w:color w:val="000000"/>
          <w:sz w:val="21"/>
          <w:szCs w:val="20"/>
          <w:lang w:val="en-US"/>
        </w:rPr>
        <w:t>to seek approval.</w:t>
      </w:r>
      <w:r w:rsidRPr="00CD2E92">
        <w:rPr>
          <w:rFonts w:cs="Arial"/>
          <w:sz w:val="21"/>
          <w:szCs w:val="20"/>
        </w:rPr>
        <w:t xml:space="preserve"> </w:t>
      </w:r>
    </w:p>
    <w:bookmarkEnd w:id="30"/>
    <w:bookmarkEnd w:id="31"/>
    <w:bookmarkEnd w:id="32"/>
    <w:bookmarkEnd w:id="33"/>
    <w:bookmarkEnd w:id="34"/>
    <w:p w:rsidR="00CD2E92" w:rsidRPr="00433BEE" w:rsidRDefault="00CD2E92" w:rsidP="00CD2E92">
      <w:pPr>
        <w:pStyle w:val="Heading2"/>
        <w:spacing w:line="276" w:lineRule="auto"/>
      </w:pPr>
      <w:r w:rsidRPr="00433BEE">
        <w:t>High risk substances with uncertain or unpredictable risk levels</w:t>
      </w:r>
    </w:p>
    <w:p w:rsidR="00CD2E92" w:rsidRPr="003A5C69" w:rsidRDefault="00CD2E92" w:rsidP="00CD2E92">
      <w:pPr>
        <w:spacing w:line="276" w:lineRule="auto"/>
        <w:rPr>
          <w:sz w:val="21"/>
          <w:szCs w:val="21"/>
        </w:rPr>
      </w:pPr>
      <w:r w:rsidRPr="003A5C69">
        <w:rPr>
          <w:sz w:val="21"/>
          <w:szCs w:val="21"/>
        </w:rPr>
        <w:t xml:space="preserve">A number of other chemical substances pose potentially major health and physical risks. Department workplaces </w:t>
      </w:r>
      <w:r w:rsidR="00663104" w:rsidRPr="003A5C69">
        <w:rPr>
          <w:sz w:val="21"/>
          <w:szCs w:val="21"/>
        </w:rPr>
        <w:t>are to</w:t>
      </w:r>
      <w:r w:rsidR="00663104">
        <w:rPr>
          <w:sz w:val="21"/>
          <w:szCs w:val="21"/>
        </w:rPr>
        <w:t xml:space="preserve"> </w:t>
      </w:r>
      <w:r w:rsidRPr="003A5C69">
        <w:rPr>
          <w:sz w:val="21"/>
          <w:szCs w:val="21"/>
        </w:rPr>
        <w:t>consider very carefully whether the curriculum/industry relevance of experiments, demonstrations, cleaning, maintenance and/or agricultural/horticultural activities involving these substances is sufficient to warrant the</w:t>
      </w:r>
      <w:r w:rsidR="003A5C69">
        <w:rPr>
          <w:sz w:val="21"/>
          <w:szCs w:val="21"/>
        </w:rPr>
        <w:t xml:space="preserve"> risk of</w:t>
      </w:r>
      <w:r w:rsidRPr="003A5C69">
        <w:rPr>
          <w:sz w:val="21"/>
          <w:szCs w:val="21"/>
        </w:rPr>
        <w:t xml:space="preserve"> </w:t>
      </w:r>
      <w:r w:rsidR="00663104" w:rsidRPr="003A5C69">
        <w:rPr>
          <w:sz w:val="21"/>
          <w:szCs w:val="21"/>
        </w:rPr>
        <w:t>use</w:t>
      </w:r>
      <w:r w:rsidRPr="003A5C69">
        <w:rPr>
          <w:sz w:val="21"/>
          <w:szCs w:val="21"/>
        </w:rPr>
        <w:t>. In such cases, minimum quantities should be obtained, stored and used. Such substances include but are not limited to:</w:t>
      </w:r>
    </w:p>
    <w:p w:rsidR="00CD2E92" w:rsidRPr="003A5C69" w:rsidRDefault="00CD2E92" w:rsidP="00CD2E92">
      <w:pPr>
        <w:pStyle w:val="ListParagraph"/>
        <w:numPr>
          <w:ilvl w:val="0"/>
          <w:numId w:val="9"/>
        </w:numPr>
        <w:spacing w:after="0" w:line="276" w:lineRule="auto"/>
        <w:rPr>
          <w:sz w:val="21"/>
          <w:szCs w:val="21"/>
        </w:rPr>
      </w:pPr>
      <w:r w:rsidRPr="003A5C69">
        <w:rPr>
          <w:sz w:val="21"/>
          <w:szCs w:val="21"/>
        </w:rPr>
        <w:t>heavy metals and the salts of heavy metals</w:t>
      </w:r>
    </w:p>
    <w:p w:rsidR="00CD2E92" w:rsidRPr="003A5C69" w:rsidRDefault="00CD2E92" w:rsidP="00CD2E92">
      <w:pPr>
        <w:pStyle w:val="ListParagraph"/>
        <w:numPr>
          <w:ilvl w:val="0"/>
          <w:numId w:val="9"/>
        </w:numPr>
        <w:spacing w:after="0" w:line="276" w:lineRule="auto"/>
        <w:rPr>
          <w:sz w:val="21"/>
          <w:szCs w:val="21"/>
        </w:rPr>
      </w:pPr>
      <w:r w:rsidRPr="003A5C69">
        <w:rPr>
          <w:sz w:val="21"/>
          <w:szCs w:val="21"/>
        </w:rPr>
        <w:t>very strong oxidising (e.g. nitric acid, nitrates), reducing (chlorides) and toxic agents</w:t>
      </w:r>
    </w:p>
    <w:p w:rsidR="00CD2E92" w:rsidRPr="003A5C69" w:rsidRDefault="00CD2E92" w:rsidP="00CD2E92">
      <w:pPr>
        <w:pStyle w:val="ListParagraph"/>
        <w:numPr>
          <w:ilvl w:val="0"/>
          <w:numId w:val="9"/>
        </w:numPr>
        <w:spacing w:after="0" w:line="276" w:lineRule="auto"/>
        <w:rPr>
          <w:sz w:val="21"/>
          <w:szCs w:val="21"/>
        </w:rPr>
      </w:pPr>
      <w:r w:rsidRPr="003A5C69">
        <w:rPr>
          <w:sz w:val="21"/>
          <w:szCs w:val="21"/>
        </w:rPr>
        <w:t>caustic/corrosive (very strong acids, hydroxides) chemicals</w:t>
      </w:r>
    </w:p>
    <w:p w:rsidR="00CD2E92" w:rsidRPr="003A5C69" w:rsidRDefault="00CD2E92" w:rsidP="00CD2E92">
      <w:pPr>
        <w:pStyle w:val="ListParagraph"/>
        <w:numPr>
          <w:ilvl w:val="0"/>
          <w:numId w:val="9"/>
        </w:numPr>
        <w:spacing w:after="0" w:line="276" w:lineRule="auto"/>
        <w:rPr>
          <w:sz w:val="21"/>
          <w:szCs w:val="21"/>
        </w:rPr>
      </w:pPr>
      <w:r w:rsidRPr="003A5C69">
        <w:rPr>
          <w:sz w:val="21"/>
          <w:szCs w:val="21"/>
        </w:rPr>
        <w:t>extremely flammable or volatile, explosive, carcinogenic and halogenic chemicals</w:t>
      </w:r>
    </w:p>
    <w:p w:rsidR="00CD2E92" w:rsidRPr="003A5C69" w:rsidRDefault="00CD2E92" w:rsidP="00CD2E92">
      <w:pPr>
        <w:pStyle w:val="ListParagraph"/>
        <w:numPr>
          <w:ilvl w:val="0"/>
          <w:numId w:val="9"/>
        </w:numPr>
        <w:spacing w:after="0" w:line="276" w:lineRule="auto"/>
        <w:rPr>
          <w:sz w:val="21"/>
          <w:szCs w:val="21"/>
        </w:rPr>
      </w:pPr>
      <w:r w:rsidRPr="003A5C69">
        <w:rPr>
          <w:sz w:val="21"/>
          <w:szCs w:val="21"/>
        </w:rPr>
        <w:t>substances subject to hazardous decomposition</w:t>
      </w:r>
    </w:p>
    <w:p w:rsidR="00CD2E92" w:rsidRPr="003A5C69" w:rsidRDefault="00CD2E92" w:rsidP="00CD2E92">
      <w:pPr>
        <w:pStyle w:val="ListParagraph"/>
        <w:numPr>
          <w:ilvl w:val="0"/>
          <w:numId w:val="9"/>
        </w:numPr>
        <w:spacing w:after="0" w:line="276" w:lineRule="auto"/>
        <w:rPr>
          <w:sz w:val="21"/>
          <w:szCs w:val="21"/>
        </w:rPr>
      </w:pPr>
      <w:r w:rsidRPr="003A5C69">
        <w:rPr>
          <w:sz w:val="21"/>
          <w:szCs w:val="21"/>
        </w:rPr>
        <w:t>environmental toxins (e.g. agricultural chemicals)</w:t>
      </w:r>
    </w:p>
    <w:p w:rsidR="00CD2E92" w:rsidRPr="00AD6287" w:rsidRDefault="00CD2E92" w:rsidP="00CD2E92">
      <w:pPr>
        <w:pStyle w:val="ListParagraph"/>
        <w:numPr>
          <w:ilvl w:val="0"/>
          <w:numId w:val="9"/>
        </w:numPr>
        <w:spacing w:line="276" w:lineRule="auto"/>
        <w:rPr>
          <w:sz w:val="21"/>
          <w:szCs w:val="21"/>
        </w:rPr>
      </w:pPr>
      <w:r w:rsidRPr="003A5C69">
        <w:rPr>
          <w:sz w:val="21"/>
          <w:szCs w:val="21"/>
        </w:rPr>
        <w:t xml:space="preserve">substances </w:t>
      </w:r>
      <w:r w:rsidR="006C6DAD" w:rsidRPr="003A5C69">
        <w:rPr>
          <w:iCs/>
          <w:sz w:val="21"/>
          <w:szCs w:val="21"/>
        </w:rPr>
        <w:t xml:space="preserve">and materials that may be </w:t>
      </w:r>
      <w:r w:rsidR="00ED14F5" w:rsidRPr="00AD6287">
        <w:rPr>
          <w:sz w:val="21"/>
          <w:szCs w:val="21"/>
        </w:rPr>
        <w:t>diverted</w:t>
      </w:r>
      <w:r w:rsidR="006C6DAD" w:rsidRPr="00AD6287">
        <w:rPr>
          <w:iCs/>
          <w:sz w:val="21"/>
          <w:szCs w:val="21"/>
        </w:rPr>
        <w:t xml:space="preserve"> for </w:t>
      </w:r>
      <w:hyperlink r:id="rId20" w:history="1">
        <w:r w:rsidR="006C6DAD" w:rsidRPr="00AD6287">
          <w:rPr>
            <w:rStyle w:val="Hyperlink"/>
            <w:iCs/>
            <w:sz w:val="21"/>
            <w:szCs w:val="21"/>
          </w:rPr>
          <w:t>illicit drug manufacture</w:t>
        </w:r>
      </w:hyperlink>
      <w:r w:rsidR="006C6DAD" w:rsidRPr="00AD6287">
        <w:rPr>
          <w:iCs/>
          <w:sz w:val="21"/>
          <w:szCs w:val="21"/>
        </w:rPr>
        <w:t xml:space="preserve"> and </w:t>
      </w:r>
      <w:r w:rsidR="00AD6287" w:rsidRPr="00AD6287">
        <w:rPr>
          <w:sz w:val="21"/>
          <w:szCs w:val="21"/>
        </w:rPr>
        <w:t>security sensitive chemicals</w:t>
      </w:r>
      <w:r w:rsidR="006C6DAD" w:rsidRPr="00AD6287">
        <w:rPr>
          <w:iCs/>
          <w:sz w:val="21"/>
          <w:szCs w:val="21"/>
        </w:rPr>
        <w:t xml:space="preserve"> (</w:t>
      </w:r>
      <w:hyperlink r:id="rId21" w:history="1">
        <w:r w:rsidR="006C6DAD" w:rsidRPr="00AD6287">
          <w:rPr>
            <w:rStyle w:val="Hyperlink"/>
            <w:iCs/>
            <w:sz w:val="21"/>
            <w:szCs w:val="21"/>
          </w:rPr>
          <w:t>SSANs</w:t>
        </w:r>
      </w:hyperlink>
      <w:r w:rsidR="006C6DAD" w:rsidRPr="00AD6287">
        <w:rPr>
          <w:iCs/>
          <w:sz w:val="21"/>
          <w:szCs w:val="21"/>
        </w:rPr>
        <w:t>)</w:t>
      </w:r>
    </w:p>
    <w:p w:rsidR="00CD2E92" w:rsidRPr="00AD6287" w:rsidRDefault="00CD2E92" w:rsidP="00CD2E92">
      <w:pPr>
        <w:spacing w:line="276" w:lineRule="auto"/>
        <w:rPr>
          <w:sz w:val="21"/>
          <w:szCs w:val="21"/>
        </w:rPr>
      </w:pPr>
      <w:r w:rsidRPr="00AD6287">
        <w:rPr>
          <w:sz w:val="21"/>
          <w:szCs w:val="21"/>
        </w:rPr>
        <w:t>While not a comprehensive listing, specific examples of these substances are listed in Table 1 below.</w:t>
      </w:r>
    </w:p>
    <w:p w:rsidR="00CD2E92" w:rsidRDefault="00CD2E92" w:rsidP="00CD2E92">
      <w:pPr>
        <w:spacing w:line="276" w:lineRule="auto"/>
        <w:rPr>
          <w:sz w:val="21"/>
          <w:szCs w:val="21"/>
        </w:rPr>
      </w:pPr>
      <w:r w:rsidRPr="00AD6287">
        <w:rPr>
          <w:sz w:val="21"/>
          <w:szCs w:val="21"/>
        </w:rPr>
        <w:t xml:space="preserve">The potential risk posed by </w:t>
      </w:r>
      <w:r w:rsidRPr="003A5C69">
        <w:rPr>
          <w:sz w:val="21"/>
          <w:szCs w:val="21"/>
        </w:rPr>
        <w:t xml:space="preserve">chemicals </w:t>
      </w:r>
      <w:r w:rsidR="00663104" w:rsidRPr="003A5C69">
        <w:rPr>
          <w:sz w:val="21"/>
          <w:szCs w:val="21"/>
        </w:rPr>
        <w:t xml:space="preserve">are </w:t>
      </w:r>
      <w:r w:rsidR="002B5FD6" w:rsidRPr="003A5C69">
        <w:rPr>
          <w:sz w:val="21"/>
          <w:szCs w:val="21"/>
        </w:rPr>
        <w:t>to</w:t>
      </w:r>
      <w:r w:rsidR="002B5FD6">
        <w:rPr>
          <w:sz w:val="21"/>
          <w:szCs w:val="21"/>
        </w:rPr>
        <w:t xml:space="preserve"> </w:t>
      </w:r>
      <w:r w:rsidRPr="00AD6287">
        <w:rPr>
          <w:sz w:val="21"/>
          <w:szCs w:val="21"/>
        </w:rPr>
        <w:t>always be considered through a documented risk management process before they are introduced into the workplace.</w:t>
      </w:r>
    </w:p>
    <w:p w:rsidR="00F25B93" w:rsidRDefault="00F25B93" w:rsidP="00CD2E92">
      <w:pPr>
        <w:spacing w:line="276" w:lineRule="auto"/>
        <w:rPr>
          <w:sz w:val="21"/>
          <w:szCs w:val="21"/>
        </w:rPr>
      </w:pPr>
    </w:p>
    <w:p w:rsidR="00F25B93" w:rsidRDefault="00F25B93" w:rsidP="00CD2E92">
      <w:pPr>
        <w:spacing w:line="276" w:lineRule="auto"/>
        <w:rPr>
          <w:sz w:val="21"/>
          <w:szCs w:val="21"/>
        </w:rPr>
      </w:pPr>
    </w:p>
    <w:p w:rsidR="00A61BC8" w:rsidRDefault="00A61BC8" w:rsidP="00CD2E92">
      <w:pPr>
        <w:spacing w:line="276" w:lineRule="auto"/>
        <w:rPr>
          <w:sz w:val="21"/>
          <w:szCs w:val="21"/>
        </w:rPr>
      </w:pPr>
    </w:p>
    <w:p w:rsidR="00A61BC8" w:rsidRDefault="00A61BC8" w:rsidP="00CD2E92">
      <w:pPr>
        <w:spacing w:line="276" w:lineRule="auto"/>
        <w:rPr>
          <w:sz w:val="21"/>
          <w:szCs w:val="21"/>
        </w:rPr>
      </w:pPr>
    </w:p>
    <w:p w:rsidR="00A61BC8" w:rsidRDefault="00A61BC8" w:rsidP="00CD2E92">
      <w:pPr>
        <w:spacing w:line="276" w:lineRule="auto"/>
        <w:rPr>
          <w:sz w:val="21"/>
          <w:szCs w:val="21"/>
        </w:rPr>
      </w:pPr>
    </w:p>
    <w:p w:rsidR="00A61BC8" w:rsidRPr="00AD6287" w:rsidRDefault="00A61BC8" w:rsidP="00CD2E92">
      <w:pPr>
        <w:spacing w:line="276" w:lineRule="auto"/>
        <w:rPr>
          <w:sz w:val="21"/>
          <w:szCs w:val="21"/>
        </w:rPr>
      </w:pPr>
    </w:p>
    <w:p w:rsidR="00CD2E92" w:rsidRPr="00702DAC" w:rsidRDefault="00CD2E92" w:rsidP="00702DAC">
      <w:pPr>
        <w:spacing w:line="276" w:lineRule="auto"/>
        <w:rPr>
          <w:sz w:val="28"/>
          <w:szCs w:val="28"/>
        </w:rPr>
      </w:pPr>
      <w:r w:rsidRPr="00702DAC">
        <w:rPr>
          <w:sz w:val="28"/>
          <w:szCs w:val="28"/>
        </w:rPr>
        <w:t>Table 1: High risk substances with uncertain or unpredictable risk levels</w:t>
      </w:r>
    </w:p>
    <w:p w:rsidR="00CD2E92" w:rsidRPr="00CD2E92" w:rsidRDefault="00CD2E92" w:rsidP="00CD2E92">
      <w:pPr>
        <w:spacing w:line="276" w:lineRule="auto"/>
        <w:rPr>
          <w:rFonts w:cs="Arial"/>
          <w:szCs w:val="22"/>
        </w:rPr>
      </w:pPr>
      <w:r w:rsidRPr="00CD2E92">
        <w:rPr>
          <w:rFonts w:cs="Arial"/>
          <w:szCs w:val="22"/>
        </w:rPr>
        <w:t xml:space="preserve">These chemicals present an unpredictable or uncertain risk in relation to worker health and safety, </w:t>
      </w:r>
      <w:r w:rsidR="00FB7C42">
        <w:rPr>
          <w:rFonts w:cs="Arial"/>
          <w:szCs w:val="22"/>
        </w:rPr>
        <w:t xml:space="preserve">safe </w:t>
      </w:r>
      <w:r w:rsidRPr="00CD2E92">
        <w:rPr>
          <w:rFonts w:cs="Arial"/>
          <w:szCs w:val="22"/>
        </w:rPr>
        <w:t xml:space="preserve">storage and handling in </w:t>
      </w:r>
      <w:r>
        <w:rPr>
          <w:rFonts w:cs="Arial"/>
          <w:szCs w:val="22"/>
        </w:rPr>
        <w:t>department</w:t>
      </w:r>
      <w:r w:rsidRPr="00CD2E92">
        <w:rPr>
          <w:rFonts w:cs="Arial"/>
          <w:szCs w:val="22"/>
        </w:rPr>
        <w:t xml:space="preserve"> workplaces</w:t>
      </w:r>
      <w:r w:rsidR="00FB7C42">
        <w:rPr>
          <w:rFonts w:cs="Arial"/>
          <w:szCs w:val="22"/>
        </w:rPr>
        <w:t>,</w:t>
      </w:r>
      <w:r w:rsidRPr="00CD2E92">
        <w:rPr>
          <w:rFonts w:cs="Arial"/>
          <w:szCs w:val="22"/>
        </w:rPr>
        <w:t xml:space="preserve"> or may be considered too dangerous for use by students and inexperienced personnel. </w:t>
      </w:r>
      <w:r w:rsidRPr="00CD2E92">
        <w:rPr>
          <w:szCs w:val="22"/>
        </w:rPr>
        <w:t xml:space="preserve">They must be stored and handled according to the information provided in the safety data sheet and only used by very experienced and competent workers. </w:t>
      </w:r>
      <w:r w:rsidRPr="00CD2E92">
        <w:rPr>
          <w:rFonts w:cs="Arial"/>
          <w:szCs w:val="22"/>
        </w:rPr>
        <w:t xml:space="preserve">It is recommended that these substances are eliminated from the workplace by substituting with less reactive, less toxic and more stable compounds. This list is by no means exhaustive. However, it does cover some of the more common chemicals used. </w:t>
      </w:r>
    </w:p>
    <w:p w:rsidR="00CD2E92" w:rsidRPr="00CD2E92" w:rsidRDefault="00CD2E92" w:rsidP="00CD2E92">
      <w:pPr>
        <w:spacing w:line="276" w:lineRule="auto"/>
        <w:rPr>
          <w:rFonts w:cs="Arial"/>
          <w:szCs w:val="22"/>
        </w:rPr>
      </w:pPr>
      <w:r w:rsidRPr="00CD2E92">
        <w:rPr>
          <w:rFonts w:cs="Arial"/>
          <w:szCs w:val="22"/>
        </w:rPr>
        <w:t xml:space="preserve">All chemical users are reminded that the risks associated with chemical use in </w:t>
      </w:r>
      <w:r>
        <w:rPr>
          <w:rFonts w:cs="Arial"/>
          <w:szCs w:val="22"/>
        </w:rPr>
        <w:t>department</w:t>
      </w:r>
      <w:r w:rsidRPr="00CD2E92">
        <w:rPr>
          <w:rFonts w:cs="Arial"/>
          <w:szCs w:val="22"/>
        </w:rPr>
        <w:t xml:space="preserve"> workplaces must be assessed to ensure that chemical risks do not outweigh the occupational and/or educational </w:t>
      </w:r>
      <w:r w:rsidR="00FB7C42">
        <w:rPr>
          <w:rFonts w:cs="Arial"/>
          <w:szCs w:val="22"/>
        </w:rPr>
        <w:t xml:space="preserve">benefit or </w:t>
      </w:r>
      <w:r w:rsidRPr="00CD2E92">
        <w:rPr>
          <w:rFonts w:cs="Arial"/>
          <w:szCs w:val="22"/>
        </w:rPr>
        <w:t>outcome for an activity.</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750"/>
      </w:tblGrid>
      <w:tr w:rsidR="00CD2E92" w:rsidRPr="009E7DE9" w:rsidTr="005E400A">
        <w:trPr>
          <w:trHeight w:hRule="exact" w:val="113"/>
          <w:tblHeader/>
        </w:trPr>
        <w:tc>
          <w:tcPr>
            <w:tcW w:w="3402" w:type="dxa"/>
            <w:vMerge w:val="restart"/>
            <w:shd w:val="clear" w:color="auto" w:fill="E6E6E6"/>
            <w:tcMar>
              <w:top w:w="17" w:type="dxa"/>
              <w:left w:w="57" w:type="dxa"/>
              <w:bottom w:w="17" w:type="dxa"/>
              <w:right w:w="57" w:type="dxa"/>
            </w:tcMar>
            <w:vAlign w:val="center"/>
          </w:tcPr>
          <w:p w:rsidR="00CD2E92" w:rsidRPr="009A2A48" w:rsidRDefault="00CD2E92" w:rsidP="005E400A">
            <w:pPr>
              <w:spacing w:before="40" w:after="40" w:line="276" w:lineRule="auto"/>
              <w:jc w:val="center"/>
              <w:rPr>
                <w:rFonts w:cs="Arial"/>
                <w:iCs/>
                <w:sz w:val="18"/>
                <w:szCs w:val="18"/>
              </w:rPr>
            </w:pPr>
            <w:r w:rsidRPr="009A2A48">
              <w:rPr>
                <w:rFonts w:cs="Arial"/>
                <w:b/>
                <w:iCs/>
                <w:sz w:val="18"/>
                <w:szCs w:val="18"/>
              </w:rPr>
              <w:t>Chemical</w:t>
            </w:r>
          </w:p>
        </w:tc>
        <w:tc>
          <w:tcPr>
            <w:tcW w:w="5750" w:type="dxa"/>
            <w:vMerge w:val="restart"/>
            <w:shd w:val="clear" w:color="auto" w:fill="E6E6E6"/>
            <w:tcMar>
              <w:top w:w="17" w:type="dxa"/>
              <w:left w:w="57" w:type="dxa"/>
              <w:bottom w:w="17" w:type="dxa"/>
              <w:right w:w="57" w:type="dxa"/>
            </w:tcMar>
            <w:vAlign w:val="center"/>
          </w:tcPr>
          <w:p w:rsidR="00CD2E92" w:rsidRPr="009A2A48" w:rsidRDefault="00CD2E92" w:rsidP="005E400A">
            <w:pPr>
              <w:spacing w:before="40" w:after="40" w:line="276" w:lineRule="auto"/>
              <w:jc w:val="center"/>
              <w:rPr>
                <w:rFonts w:cs="Arial"/>
                <w:b/>
                <w:iCs/>
                <w:sz w:val="18"/>
                <w:szCs w:val="18"/>
              </w:rPr>
            </w:pPr>
            <w:r w:rsidRPr="009A2A48">
              <w:rPr>
                <w:rFonts w:cs="Arial"/>
                <w:b/>
                <w:iCs/>
                <w:sz w:val="18"/>
                <w:szCs w:val="18"/>
              </w:rPr>
              <w:t>Characteristics</w:t>
            </w:r>
          </w:p>
        </w:tc>
      </w:tr>
      <w:tr w:rsidR="00CD2E92" w:rsidRPr="009E7DE9" w:rsidTr="005E400A">
        <w:trPr>
          <w:trHeight w:val="438"/>
          <w:tblHeader/>
        </w:trPr>
        <w:tc>
          <w:tcPr>
            <w:tcW w:w="3402" w:type="dxa"/>
            <w:vMerge/>
            <w:shd w:val="clear" w:color="auto" w:fill="E6E6E6"/>
            <w:tcMar>
              <w:top w:w="17" w:type="dxa"/>
              <w:left w:w="57" w:type="dxa"/>
              <w:bottom w:w="17" w:type="dxa"/>
              <w:right w:w="57" w:type="dxa"/>
            </w:tcMar>
            <w:vAlign w:val="center"/>
          </w:tcPr>
          <w:p w:rsidR="00CD2E92" w:rsidRPr="009A2A48" w:rsidRDefault="00CD2E92" w:rsidP="00CD2E92">
            <w:pPr>
              <w:spacing w:before="40" w:after="160" w:line="276" w:lineRule="auto"/>
              <w:rPr>
                <w:rFonts w:cs="Arial"/>
                <w:b/>
                <w:iCs/>
                <w:sz w:val="18"/>
                <w:szCs w:val="18"/>
              </w:rPr>
            </w:pPr>
          </w:p>
        </w:tc>
        <w:tc>
          <w:tcPr>
            <w:tcW w:w="5750" w:type="dxa"/>
            <w:vMerge/>
            <w:shd w:val="clear" w:color="auto" w:fill="E6E6E6"/>
            <w:tcMar>
              <w:top w:w="17" w:type="dxa"/>
              <w:left w:w="57" w:type="dxa"/>
              <w:bottom w:w="17" w:type="dxa"/>
              <w:right w:w="57" w:type="dxa"/>
            </w:tcMar>
            <w:vAlign w:val="center"/>
          </w:tcPr>
          <w:p w:rsidR="00CD2E92" w:rsidRPr="009A2A48" w:rsidRDefault="00CD2E92" w:rsidP="00CD2E92">
            <w:pPr>
              <w:spacing w:after="20" w:line="276" w:lineRule="auto"/>
              <w:rPr>
                <w:rFonts w:cs="Arial"/>
                <w:b/>
                <w:iCs/>
                <w:sz w:val="18"/>
                <w:szCs w:val="18"/>
              </w:rPr>
            </w:pP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BF5710" w:rsidRDefault="00CD2E92" w:rsidP="00CD2E92">
            <w:pPr>
              <w:spacing w:after="20" w:line="276" w:lineRule="auto"/>
              <w:rPr>
                <w:rFonts w:cs="Arial"/>
                <w:sz w:val="18"/>
                <w:szCs w:val="18"/>
                <w:highlight w:val="lightGray"/>
              </w:rPr>
            </w:pPr>
            <w:r w:rsidRPr="009A2A48">
              <w:rPr>
                <w:rFonts w:cs="Arial"/>
                <w:iCs/>
                <w:sz w:val="18"/>
                <w:szCs w:val="18"/>
              </w:rPr>
              <w:t>Acrylonitrile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Restricted carcinogen. Any use requires permission for use by the Regulator (</w:t>
            </w:r>
            <w:r w:rsidRPr="009A2A48">
              <w:rPr>
                <w:rFonts w:cs="Arial"/>
                <w:i/>
                <w:iCs/>
                <w:sz w:val="18"/>
                <w:szCs w:val="18"/>
              </w:rPr>
              <w:t xml:space="preserve">WHS </w:t>
            </w:r>
            <w:proofErr w:type="spellStart"/>
            <w:r w:rsidRPr="009A2A48">
              <w:rPr>
                <w:rFonts w:cs="Arial"/>
                <w:i/>
                <w:iCs/>
                <w:sz w:val="18"/>
                <w:szCs w:val="18"/>
              </w:rPr>
              <w:t>Reg</w:t>
            </w:r>
            <w:proofErr w:type="spellEnd"/>
            <w:r w:rsidRPr="009A2A48">
              <w:rPr>
                <w:rFonts w:cs="Arial"/>
                <w:i/>
                <w:iCs/>
                <w:sz w:val="18"/>
                <w:szCs w:val="18"/>
              </w:rPr>
              <w:t xml:space="preserve"> 2011 S380-384, Schedule 10</w:t>
            </w:r>
            <w:r w:rsidRPr="009A2A48">
              <w:rPr>
                <w:rFonts w:cs="Arial"/>
                <w:iCs/>
                <w:sz w:val="18"/>
                <w:szCs w:val="18"/>
              </w:rPr>
              <w:t xml:space="preserve">). </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Pr>
                <w:rFonts w:cs="Arial"/>
                <w:iCs/>
                <w:sz w:val="18"/>
                <w:szCs w:val="18"/>
              </w:rPr>
              <w:t>Alkaline metals</w:t>
            </w:r>
            <w:r w:rsidR="00A95483">
              <w:rPr>
                <w:rFonts w:cs="Arial"/>
                <w:iCs/>
                <w:sz w:val="18"/>
                <w:szCs w:val="18"/>
              </w:rPr>
              <w:t xml:space="preserve"> </w:t>
            </w:r>
            <w:r>
              <w:rPr>
                <w:rFonts w:cs="Arial"/>
                <w:iCs/>
                <w:sz w:val="18"/>
                <w:szCs w:val="18"/>
              </w:rPr>
              <w:t xml:space="preserve">- </w:t>
            </w:r>
            <w:r w:rsidRPr="009A2A48">
              <w:rPr>
                <w:rFonts w:cs="Arial"/>
                <w:iCs/>
                <w:sz w:val="18"/>
                <w:szCs w:val="18"/>
              </w:rPr>
              <w:t>Potassium</w:t>
            </w:r>
            <w:r>
              <w:rPr>
                <w:rFonts w:cs="Arial"/>
                <w:iCs/>
                <w:sz w:val="18"/>
                <w:szCs w:val="18"/>
              </w:rPr>
              <w:t>,</w:t>
            </w:r>
            <w:r w:rsidRPr="009A2A48">
              <w:rPr>
                <w:rFonts w:cs="Arial"/>
                <w:iCs/>
                <w:sz w:val="18"/>
                <w:szCs w:val="18"/>
              </w:rPr>
              <w:t xml:space="preserve"> sodium</w:t>
            </w:r>
            <w:r>
              <w:rPr>
                <w:rFonts w:cs="Arial"/>
                <w:iCs/>
                <w:sz w:val="18"/>
                <w:szCs w:val="18"/>
              </w:rPr>
              <w:t>,</w:t>
            </w:r>
            <w:r w:rsidRPr="009A2A48">
              <w:rPr>
                <w:rFonts w:cs="Arial"/>
                <w:iCs/>
                <w:sz w:val="18"/>
                <w:szCs w:val="18"/>
              </w:rPr>
              <w:t xml:space="preserve"> calcium</w:t>
            </w:r>
            <w:r>
              <w:rPr>
                <w:rFonts w:cs="Arial"/>
                <w:iCs/>
                <w:sz w:val="18"/>
                <w:szCs w:val="18"/>
              </w:rPr>
              <w:t>, lithium</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React violently with water to form hydrogen which ignites or explodes</w:t>
            </w:r>
            <w:r>
              <w:rPr>
                <w:rFonts w:cs="Arial"/>
                <w:iCs/>
                <w:sz w:val="18"/>
                <w:szCs w:val="18"/>
              </w:rPr>
              <w:t>. Highly flammable.</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Ammonium chlorate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Violently explosive</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Ammonium perchlorate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Violently explosive, highly reactive</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Aniline, </w:t>
            </w:r>
            <w:proofErr w:type="spellStart"/>
            <w:r w:rsidRPr="009A2A48">
              <w:rPr>
                <w:rFonts w:cs="Arial"/>
                <w:iCs/>
                <w:sz w:val="18"/>
                <w:szCs w:val="18"/>
              </w:rPr>
              <w:t>phenylamine</w:t>
            </w:r>
            <w:proofErr w:type="spellEnd"/>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ind w:left="720" w:hanging="720"/>
              <w:rPr>
                <w:rFonts w:cs="Arial"/>
                <w:iCs/>
                <w:sz w:val="18"/>
                <w:szCs w:val="18"/>
              </w:rPr>
            </w:pPr>
            <w:r w:rsidRPr="009A2A48">
              <w:rPr>
                <w:rFonts w:cs="Arial"/>
                <w:iCs/>
                <w:sz w:val="18"/>
                <w:szCs w:val="18"/>
              </w:rPr>
              <w:t>Extremely toxic, carcinogenic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Arsenic compounds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ind w:left="720" w:hanging="720"/>
              <w:rPr>
                <w:rFonts w:cs="Arial"/>
                <w:iCs/>
                <w:sz w:val="18"/>
                <w:szCs w:val="18"/>
              </w:rPr>
            </w:pPr>
            <w:r w:rsidRPr="009A2A48">
              <w:rPr>
                <w:rFonts w:cs="Arial"/>
                <w:iCs/>
                <w:sz w:val="18"/>
                <w:szCs w:val="18"/>
              </w:rPr>
              <w:t>Extremely toxic, carcinogenic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Beryllium salts </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ind w:left="720" w:hanging="720"/>
              <w:rPr>
                <w:rFonts w:cs="Arial"/>
                <w:iCs/>
                <w:sz w:val="18"/>
                <w:szCs w:val="18"/>
              </w:rPr>
            </w:pPr>
            <w:r w:rsidRPr="009A2A48">
              <w:rPr>
                <w:rFonts w:cs="Arial"/>
                <w:iCs/>
                <w:sz w:val="18"/>
                <w:szCs w:val="18"/>
              </w:rPr>
              <w:t>Highly toxic and carcinogenic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Bromine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corrosive, oxidiser, volatile liquid, poison fumes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Carbon disulphide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Very low flash point, extremely flammable, highly volatile, very toxic. Use for spray painting requires permission from the Regulator (</w:t>
            </w:r>
            <w:r w:rsidRPr="009A2A48">
              <w:rPr>
                <w:rFonts w:cs="Arial"/>
                <w:i/>
                <w:iCs/>
                <w:sz w:val="18"/>
                <w:szCs w:val="18"/>
              </w:rPr>
              <w:t xml:space="preserve">WHS </w:t>
            </w:r>
            <w:proofErr w:type="spellStart"/>
            <w:r w:rsidRPr="009A2A48">
              <w:rPr>
                <w:rFonts w:cs="Arial"/>
                <w:i/>
                <w:iCs/>
                <w:sz w:val="18"/>
                <w:szCs w:val="18"/>
              </w:rPr>
              <w:t>Reg</w:t>
            </w:r>
            <w:proofErr w:type="spellEnd"/>
            <w:r w:rsidRPr="009A2A48">
              <w:rPr>
                <w:rFonts w:cs="Arial"/>
                <w:i/>
                <w:iCs/>
                <w:sz w:val="18"/>
                <w:szCs w:val="18"/>
              </w:rPr>
              <w:t xml:space="preserve"> 2011 S380-384, Schedule 10</w:t>
            </w:r>
            <w:r w:rsidRPr="009A2A48">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Cadmium compounds</w:t>
            </w:r>
          </w:p>
        </w:tc>
        <w:tc>
          <w:tcPr>
            <w:tcW w:w="5750" w:type="dxa"/>
            <w:shd w:val="clear" w:color="auto" w:fill="auto"/>
            <w:tcMar>
              <w:top w:w="17" w:type="dxa"/>
              <w:left w:w="57" w:type="dxa"/>
              <w:bottom w:w="17" w:type="dxa"/>
              <w:right w:w="57" w:type="dxa"/>
            </w:tcMar>
            <w:vAlign w:val="center"/>
          </w:tcPr>
          <w:p w:rsidR="00CD2E92" w:rsidRPr="009A2A48" w:rsidRDefault="00CD2E92" w:rsidP="000009C9">
            <w:pPr>
              <w:spacing w:after="20" w:line="276" w:lineRule="auto"/>
              <w:rPr>
                <w:rFonts w:cs="Arial"/>
                <w:iCs/>
                <w:sz w:val="18"/>
                <w:szCs w:val="18"/>
              </w:rPr>
            </w:pPr>
            <w:r w:rsidRPr="009A2A48">
              <w:rPr>
                <w:rFonts w:cs="Arial"/>
                <w:iCs/>
                <w:sz w:val="18"/>
                <w:szCs w:val="18"/>
              </w:rPr>
              <w:t>Highly toxic heavy metal, carcinogen, some compounds are very strong oxidisers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Chlorates (all)</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Dangerous explosion risk. Explosive mixtures easily formed</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Chromic acid, chromium (VI) oxide, chromium trioxide, chromic anhydride, Red zinc chromate, inorganic chromates and </w:t>
            </w:r>
            <w:proofErr w:type="spellStart"/>
            <w:r w:rsidRPr="009A2A48">
              <w:rPr>
                <w:rFonts w:cs="Arial"/>
                <w:iCs/>
                <w:sz w:val="18"/>
                <w:szCs w:val="18"/>
              </w:rPr>
              <w:t>dichromates</w:t>
            </w:r>
            <w:proofErr w:type="spellEnd"/>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 and corrosive, poison. Hexavalent compounds are known to be carcinogenic. Powerful oxidizers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Cyanide containing compounds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poisonous, with acids forms toxic and poisonous hydrogen cyanide gas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Diethyl ether</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Low flash point, extremely flammable, peroxide former (explosion risk)</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pStyle w:val="ListParagraph"/>
              <w:spacing w:before="120" w:line="276" w:lineRule="auto"/>
              <w:ind w:left="0"/>
              <w:rPr>
                <w:rFonts w:eastAsia="Times New Roman" w:cs="Arial"/>
                <w:iCs/>
                <w:sz w:val="18"/>
                <w:szCs w:val="18"/>
              </w:rPr>
            </w:pPr>
            <w:r w:rsidRPr="009A2A48">
              <w:rPr>
                <w:rFonts w:eastAsia="Times New Roman" w:cs="Arial"/>
                <w:iCs/>
                <w:sz w:val="18"/>
                <w:szCs w:val="18"/>
              </w:rPr>
              <w:t>Ethylene Dichloride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May cause cancer, low flash point, extremely flammable, may form explosive compounds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pStyle w:val="ListParagraph"/>
              <w:spacing w:before="120" w:line="276" w:lineRule="auto"/>
              <w:ind w:left="0"/>
              <w:rPr>
                <w:rFonts w:eastAsia="Times New Roman" w:cs="Arial"/>
                <w:iCs/>
                <w:sz w:val="18"/>
                <w:szCs w:val="18"/>
              </w:rPr>
            </w:pPr>
            <w:r w:rsidRPr="009A2A48">
              <w:rPr>
                <w:rFonts w:eastAsia="Times New Roman" w:cs="Arial"/>
                <w:iCs/>
                <w:sz w:val="18"/>
                <w:szCs w:val="18"/>
              </w:rPr>
              <w:t>Ethylene Oxide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May cause cancer, low flash point, extremely flammable, extremely toxic</w:t>
            </w:r>
            <w:r>
              <w:rPr>
                <w:rFonts w:cs="Arial"/>
                <w:iCs/>
                <w:sz w:val="18"/>
                <w:szCs w:val="18"/>
              </w:rPr>
              <w:t>.</w:t>
            </w:r>
          </w:p>
        </w:tc>
      </w:tr>
      <w:tr w:rsidR="00CD2E92" w:rsidRPr="009E7DE9" w:rsidTr="005E400A">
        <w:trPr>
          <w:trHeight w:val="196"/>
        </w:trPr>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Epoxy Resins (Uncured)</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Toxic, respiratory and skin sensitiser, possibly carcinogenic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Ethylene dibromide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Restricted carcinogen. When used as a fumigant or genuine research or analysis requires permission for use by the Regulator </w:t>
            </w:r>
            <w:r w:rsidRPr="00637394">
              <w:rPr>
                <w:rFonts w:cs="Arial"/>
                <w:i/>
                <w:iCs/>
                <w:sz w:val="18"/>
                <w:szCs w:val="18"/>
              </w:rPr>
              <w:t xml:space="preserve">WHS </w:t>
            </w:r>
            <w:proofErr w:type="spellStart"/>
            <w:r w:rsidRPr="00637394">
              <w:rPr>
                <w:rFonts w:cs="Arial"/>
                <w:i/>
                <w:iCs/>
                <w:sz w:val="18"/>
                <w:szCs w:val="18"/>
              </w:rPr>
              <w:t>Reg</w:t>
            </w:r>
            <w:proofErr w:type="spellEnd"/>
            <w:r w:rsidRPr="00637394">
              <w:rPr>
                <w:rFonts w:cs="Arial"/>
                <w:i/>
                <w:iCs/>
                <w:sz w:val="18"/>
                <w:szCs w:val="18"/>
              </w:rPr>
              <w:t xml:space="preserve"> 2011</w:t>
            </w:r>
            <w:r w:rsidRPr="009A2A48">
              <w:rPr>
                <w:rFonts w:cs="Arial"/>
                <w:iCs/>
                <w:sz w:val="18"/>
                <w:szCs w:val="18"/>
              </w:rPr>
              <w:t xml:space="preserve"> </w:t>
            </w:r>
            <w:r>
              <w:rPr>
                <w:rFonts w:cs="Arial"/>
                <w:iCs/>
                <w:sz w:val="18"/>
                <w:szCs w:val="18"/>
              </w:rPr>
              <w:t>s</w:t>
            </w:r>
            <w:r w:rsidRPr="009A2A48">
              <w:rPr>
                <w:rFonts w:cs="Arial"/>
                <w:iCs/>
                <w:sz w:val="18"/>
                <w:szCs w:val="18"/>
              </w:rPr>
              <w:t>380-384, Schedule 10. Residues may be found in wood dust.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lastRenderedPageBreak/>
              <w:t>Fluoride compounds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Can evolve hydrofluoric acid if acidified, all are highly toxic and poisonous.</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Formaldehyde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Toxic, carcinogen, severe sensitiser, skin irritant</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Gun wash (liquid hydrocarbons)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flammable, possibly carcinogenic, toxic</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Halogenated solvents (e.g. carbon tetrachloride, chloroform, </w:t>
            </w:r>
            <w:proofErr w:type="spellStart"/>
            <w:r w:rsidRPr="009A2A48">
              <w:rPr>
                <w:rFonts w:cs="Arial"/>
                <w:iCs/>
                <w:sz w:val="18"/>
                <w:szCs w:val="18"/>
              </w:rPr>
              <w:t>trichloromethane</w:t>
            </w:r>
            <w:proofErr w:type="spellEnd"/>
            <w:r w:rsidRPr="009A2A48">
              <w:rPr>
                <w:rFonts w:cs="Arial"/>
                <w:iCs/>
                <w:sz w:val="18"/>
                <w:szCs w:val="18"/>
              </w:rPr>
              <w:t xml:space="preserve">, </w:t>
            </w:r>
            <w:proofErr w:type="spellStart"/>
            <w:r w:rsidRPr="009A2A48">
              <w:rPr>
                <w:rFonts w:cs="Arial"/>
                <w:iCs/>
                <w:sz w:val="18"/>
                <w:szCs w:val="18"/>
              </w:rPr>
              <w:t>trichloroethane</w:t>
            </w:r>
            <w:proofErr w:type="spellEnd"/>
            <w:r w:rsidRPr="009A2A48">
              <w:rPr>
                <w:rFonts w:cs="Arial"/>
                <w:iCs/>
                <w:sz w:val="18"/>
                <w:szCs w:val="18"/>
              </w:rPr>
              <w:t>)</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toxic and suspected carcinogens, bio accumulative pollutants</w:t>
            </w:r>
            <w:r w:rsidR="00FB7C42">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proofErr w:type="spellStart"/>
            <w:r w:rsidRPr="009A2A48">
              <w:rPr>
                <w:rFonts w:cs="Arial"/>
                <w:iCs/>
                <w:sz w:val="18"/>
                <w:szCs w:val="18"/>
              </w:rPr>
              <w:t>Hardite</w:t>
            </w:r>
            <w:proofErr w:type="spellEnd"/>
            <w:r w:rsidRPr="009A2A48">
              <w:rPr>
                <w:rFonts w:cs="Arial"/>
                <w:iCs/>
                <w:sz w:val="18"/>
                <w:szCs w:val="18"/>
              </w:rPr>
              <w:t xml:space="preserve"> </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toxic, carcinogenic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Hydrofluoric acid</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toxic. Very dangerous.</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Inorganic lead and lead compounds including, metal, acetates, carbonates, nitrate, sulphides, paints, and solders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 cumulative effects from prolonged exposure, poison, some lead products may cause cancer</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MEKP (methyl ethyl ketone peroxide)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Shock sensitive, special storage and use requirements. Experienced users only</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Mercury compounds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Methylene chloride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Possible carcinogen, highly toxic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Methyl iodide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toxic, may form explosive compounds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proofErr w:type="spellStart"/>
            <w:r w:rsidRPr="009A2A48">
              <w:rPr>
                <w:rFonts w:cs="Arial"/>
                <w:iCs/>
                <w:sz w:val="18"/>
                <w:szCs w:val="18"/>
              </w:rPr>
              <w:t>Millon’s</w:t>
            </w:r>
            <w:proofErr w:type="spellEnd"/>
            <w:r w:rsidRPr="009A2A48">
              <w:rPr>
                <w:rFonts w:cs="Arial"/>
                <w:iCs/>
                <w:sz w:val="18"/>
                <w:szCs w:val="18"/>
              </w:rPr>
              <w:t xml:space="preserve"> reagent (mercury + nitric acid)</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w:t>
            </w:r>
            <w:r>
              <w:rPr>
                <w:rFonts w:cs="Arial"/>
                <w:iCs/>
                <w:sz w:val="18"/>
                <w:szCs w:val="18"/>
              </w:rPr>
              <w:t>ly corrosive, highly poisonous.</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Naphthalene compounds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 carcinogenic impurities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Nickel and nickel compounds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Possible carcinogen, toxic, sensitiser</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64460D" w:rsidP="00CD2E92">
            <w:pPr>
              <w:spacing w:after="20" w:line="276" w:lineRule="auto"/>
              <w:rPr>
                <w:rFonts w:cs="Arial"/>
                <w:iCs/>
                <w:sz w:val="18"/>
                <w:szCs w:val="18"/>
              </w:rPr>
            </w:pPr>
            <w:hyperlink r:id="rId22" w:history="1">
              <w:r w:rsidR="00CD2E92" w:rsidRPr="00FB7C42">
                <w:rPr>
                  <w:rStyle w:val="Hyperlink"/>
                  <w:rFonts w:cs="Arial"/>
                  <w:iCs/>
                  <w:sz w:val="18"/>
                  <w:szCs w:val="18"/>
                </w:rPr>
                <w:t>PCB</w:t>
              </w:r>
            </w:hyperlink>
            <w:r w:rsidR="00CD2E92" w:rsidRPr="009A2A48">
              <w:rPr>
                <w:rFonts w:cs="Arial"/>
                <w:iCs/>
                <w:sz w:val="18"/>
                <w:szCs w:val="18"/>
              </w:rPr>
              <w:t xml:space="preserve">s, polychlorinated biphenyls </w:t>
            </w:r>
            <w:r w:rsidR="00FB7C42">
              <w:rPr>
                <w:rFonts w:cs="Arial"/>
                <w:iCs/>
                <w:sz w:val="18"/>
                <w:szCs w:val="18"/>
              </w:rPr>
              <w:t>(</w:t>
            </w:r>
            <w:r w:rsidR="00FB7C42" w:rsidRPr="00FB7C42">
              <w:rPr>
                <w:rFonts w:cs="Arial"/>
                <w:iCs/>
                <w:sz w:val="18"/>
                <w:szCs w:val="18"/>
              </w:rPr>
              <w:t>Imports of PCBs to Australia have been banned since 1986.</w:t>
            </w:r>
            <w:r w:rsidR="00FB7C42">
              <w:rPr>
                <w:rFonts w:cs="Arial"/>
                <w:iCs/>
                <w:sz w:val="18"/>
                <w:szCs w:val="18"/>
              </w:rPr>
              <w:t>)</w:t>
            </w:r>
          </w:p>
        </w:tc>
        <w:tc>
          <w:tcPr>
            <w:tcW w:w="5750" w:type="dxa"/>
            <w:shd w:val="clear" w:color="auto" w:fill="auto"/>
            <w:tcMar>
              <w:top w:w="17" w:type="dxa"/>
              <w:left w:w="57" w:type="dxa"/>
              <w:bottom w:w="17" w:type="dxa"/>
              <w:right w:w="57" w:type="dxa"/>
            </w:tcMar>
            <w:vAlign w:val="center"/>
          </w:tcPr>
          <w:p w:rsidR="00FB7C42" w:rsidRPr="00FB7C42" w:rsidRDefault="00CD2E92" w:rsidP="00FB7C42">
            <w:pPr>
              <w:spacing w:after="20" w:line="276" w:lineRule="auto"/>
              <w:rPr>
                <w:rFonts w:cs="Arial"/>
                <w:iCs/>
                <w:sz w:val="18"/>
                <w:szCs w:val="18"/>
              </w:rPr>
            </w:pPr>
            <w:r w:rsidRPr="009A2A48">
              <w:rPr>
                <w:rFonts w:cs="Arial"/>
                <w:iCs/>
                <w:sz w:val="18"/>
                <w:szCs w:val="18"/>
              </w:rPr>
              <w:t>Moderately toxic, probably carcinogenic</w:t>
            </w:r>
            <w:r>
              <w:rPr>
                <w:rFonts w:cs="Arial"/>
                <w:iCs/>
                <w:sz w:val="18"/>
                <w:szCs w:val="18"/>
              </w:rPr>
              <w:t>.</w:t>
            </w:r>
            <w:r w:rsidR="00FB7C42">
              <w:rPr>
                <w:rFonts w:cs="Arial"/>
                <w:iCs/>
                <w:sz w:val="18"/>
                <w:szCs w:val="18"/>
              </w:rPr>
              <w:t xml:space="preserve"> Requires regulated disposal.</w:t>
            </w:r>
            <w:r w:rsidR="00FB7C42" w:rsidRPr="00FB7C42">
              <w:rPr>
                <w:rFonts w:cs="Arial"/>
                <w:iCs/>
                <w:sz w:val="18"/>
                <w:szCs w:val="18"/>
              </w:rPr>
              <w:t xml:space="preserve"> </w:t>
            </w:r>
            <w:r w:rsidR="00FB7C42">
              <w:rPr>
                <w:rFonts w:cs="Arial"/>
                <w:iCs/>
                <w:sz w:val="18"/>
                <w:szCs w:val="18"/>
              </w:rPr>
              <w:t xml:space="preserve">Contained in electrical equipment (e.g. capacitors). If </w:t>
            </w:r>
            <w:r w:rsidR="00FB7C42" w:rsidRPr="00FB7C42">
              <w:rPr>
                <w:rFonts w:cs="Arial"/>
                <w:iCs/>
                <w:sz w:val="18"/>
                <w:szCs w:val="18"/>
              </w:rPr>
              <w:t>equipment was produced after 1979 or imported after 1986 then the equipment</w:t>
            </w:r>
          </w:p>
          <w:p w:rsidR="00CD2E92" w:rsidRPr="009A2A48" w:rsidRDefault="00FB7C42" w:rsidP="00FB7C42">
            <w:pPr>
              <w:spacing w:after="20" w:line="276" w:lineRule="auto"/>
              <w:rPr>
                <w:rFonts w:cs="Arial"/>
                <w:iCs/>
                <w:sz w:val="18"/>
                <w:szCs w:val="18"/>
              </w:rPr>
            </w:pPr>
            <w:proofErr w:type="gramStart"/>
            <w:r w:rsidRPr="00FB7C42">
              <w:rPr>
                <w:rFonts w:cs="Arial"/>
                <w:iCs/>
                <w:sz w:val="18"/>
                <w:szCs w:val="18"/>
              </w:rPr>
              <w:t>should</w:t>
            </w:r>
            <w:proofErr w:type="gramEnd"/>
            <w:r w:rsidRPr="00FB7C42">
              <w:rPr>
                <w:rFonts w:cs="Arial"/>
                <w:iCs/>
                <w:sz w:val="18"/>
                <w:szCs w:val="18"/>
              </w:rPr>
              <w:t xml:space="preserve"> be PCB-free. </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proofErr w:type="spellStart"/>
            <w:r w:rsidRPr="009A2A48">
              <w:rPr>
                <w:rFonts w:cs="Arial"/>
                <w:iCs/>
                <w:sz w:val="18"/>
                <w:szCs w:val="18"/>
              </w:rPr>
              <w:t>Perchloric</w:t>
            </w:r>
            <w:proofErr w:type="spellEnd"/>
            <w:r w:rsidRPr="009A2A48">
              <w:rPr>
                <w:rFonts w:cs="Arial"/>
                <w:iCs/>
                <w:sz w:val="18"/>
                <w:szCs w:val="18"/>
              </w:rPr>
              <w:t xml:space="preserve"> acid</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Powerful oxidiser, highly corrosive, violently explosive mixtures with combustible materials and metals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Phosphorus, white, white phosphorus, yellow phosphorus, red phosphorous</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toxic- emits poisonous gas which can be fatal, ignites spontaneously in air, extreme fire hazard</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Picric acid</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Explosive when dry and compacted or in contact with metals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Potassium cyanide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poisonous. Releases poison gas when even slightly acidified</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Sodium amide, </w:t>
            </w:r>
            <w:proofErr w:type="spellStart"/>
            <w:r w:rsidRPr="009A2A48">
              <w:rPr>
                <w:rFonts w:cs="Arial"/>
                <w:iCs/>
                <w:sz w:val="18"/>
                <w:szCs w:val="18"/>
              </w:rPr>
              <w:t>sodamide</w:t>
            </w:r>
            <w:proofErr w:type="spellEnd"/>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 flammable, reacts violently with water</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Sodium </w:t>
            </w:r>
            <w:proofErr w:type="spellStart"/>
            <w:r w:rsidRPr="009A2A48">
              <w:rPr>
                <w:rFonts w:cs="Arial"/>
                <w:iCs/>
                <w:sz w:val="18"/>
                <w:szCs w:val="18"/>
              </w:rPr>
              <w:t>azide</w:t>
            </w:r>
            <w:proofErr w:type="spellEnd"/>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Extremely toxic, poison, explosive reaction with metals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Sodium dithionite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Toxic by ingestion and inhalation. Allergen. Powerful reducing agent.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Sulphur dioxide (gas generator or gas cylinder)</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Poison gas at high levels. Corrosive irritant to eyes and skin</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Toluene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flammable, highly toxic, possible carcinogen</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Tolidine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 carcinogen</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Trichloroethylene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Highly toxic, carcinogen, may form explosive compounds</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Vinyl Chloride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 xml:space="preserve">Restricted carcinogen. Any use requires permission for use by the Regulator </w:t>
            </w:r>
            <w:r w:rsidRPr="009A2A48">
              <w:rPr>
                <w:rFonts w:cs="Arial"/>
                <w:i/>
                <w:iCs/>
                <w:sz w:val="18"/>
                <w:szCs w:val="18"/>
              </w:rPr>
              <w:t xml:space="preserve">WHS </w:t>
            </w:r>
            <w:proofErr w:type="spellStart"/>
            <w:r w:rsidRPr="009A2A48">
              <w:rPr>
                <w:rFonts w:cs="Arial"/>
                <w:i/>
                <w:iCs/>
                <w:sz w:val="18"/>
                <w:szCs w:val="18"/>
              </w:rPr>
              <w:t>Reg</w:t>
            </w:r>
            <w:proofErr w:type="spellEnd"/>
            <w:r w:rsidRPr="009A2A48">
              <w:rPr>
                <w:rFonts w:cs="Arial"/>
                <w:i/>
                <w:iCs/>
                <w:sz w:val="18"/>
                <w:szCs w:val="18"/>
              </w:rPr>
              <w:t xml:space="preserve"> 2011 S380-384, Schedule 10</w:t>
            </w:r>
            <w:r w:rsidRPr="009A2A48">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Xylene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Toxic</w:t>
            </w:r>
            <w:r>
              <w:rPr>
                <w:rFonts w:cs="Arial"/>
                <w:iCs/>
                <w:sz w:val="18"/>
                <w:szCs w:val="18"/>
              </w:rPr>
              <w:t>.</w:t>
            </w:r>
          </w:p>
        </w:tc>
      </w:tr>
      <w:tr w:rsidR="00CD2E92" w:rsidRPr="009E7DE9" w:rsidTr="005E400A">
        <w:tc>
          <w:tcPr>
            <w:tcW w:w="3402"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Zinc Chloride</w:t>
            </w:r>
          </w:p>
        </w:tc>
        <w:tc>
          <w:tcPr>
            <w:tcW w:w="5750" w:type="dxa"/>
            <w:shd w:val="clear" w:color="auto" w:fill="auto"/>
            <w:tcMar>
              <w:top w:w="17" w:type="dxa"/>
              <w:left w:w="57" w:type="dxa"/>
              <w:bottom w:w="17" w:type="dxa"/>
              <w:right w:w="57" w:type="dxa"/>
            </w:tcMar>
            <w:vAlign w:val="center"/>
          </w:tcPr>
          <w:p w:rsidR="00CD2E92" w:rsidRPr="009A2A48" w:rsidRDefault="00CD2E92" w:rsidP="00CD2E92">
            <w:pPr>
              <w:spacing w:after="20" w:line="276" w:lineRule="auto"/>
              <w:rPr>
                <w:rFonts w:cs="Arial"/>
                <w:iCs/>
                <w:sz w:val="18"/>
                <w:szCs w:val="18"/>
              </w:rPr>
            </w:pPr>
            <w:r w:rsidRPr="009A2A48">
              <w:rPr>
                <w:rFonts w:cs="Arial"/>
                <w:iCs/>
                <w:sz w:val="18"/>
                <w:szCs w:val="18"/>
              </w:rPr>
              <w:t>Corrosive, toxic</w:t>
            </w:r>
            <w:r>
              <w:rPr>
                <w:rFonts w:cs="Arial"/>
                <w:iCs/>
                <w:sz w:val="18"/>
                <w:szCs w:val="18"/>
              </w:rPr>
              <w:t>.</w:t>
            </w:r>
          </w:p>
        </w:tc>
      </w:tr>
    </w:tbl>
    <w:p w:rsidR="00CD2E92" w:rsidRPr="006C6DAD" w:rsidRDefault="00CD2E92" w:rsidP="000009C9">
      <w:pPr>
        <w:rPr>
          <w:lang w:eastAsia="en-AU"/>
        </w:rPr>
      </w:pPr>
    </w:p>
    <w:sectPr w:rsidR="00CD2E92" w:rsidRPr="006C6DAD" w:rsidSect="003A5C69">
      <w:headerReference w:type="default" r:id="rId23"/>
      <w:footerReference w:type="default" r:id="rId24"/>
      <w:pgSz w:w="11900" w:h="16840"/>
      <w:pgMar w:top="1814" w:right="1410"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0D" w:rsidRDefault="0064460D" w:rsidP="00190C24">
      <w:r>
        <w:separator/>
      </w:r>
    </w:p>
  </w:endnote>
  <w:endnote w:type="continuationSeparator" w:id="0">
    <w:p w:rsidR="0064460D" w:rsidRDefault="0064460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BD" w:rsidRDefault="00CD2E92">
    <w:pPr>
      <w:pStyle w:val="Footer"/>
    </w:pPr>
    <w:r w:rsidRPr="00CD2E92">
      <w:rPr>
        <w:noProof/>
        <w:lang w:eastAsia="zh-TW"/>
      </w:rPr>
      <mc:AlternateContent>
        <mc:Choice Requires="wps">
          <w:drawing>
            <wp:anchor distT="0" distB="0" distL="114300" distR="114300" simplePos="0" relativeHeight="251657728" behindDoc="0" locked="1" layoutInCell="1" allowOverlap="1" wp14:anchorId="27F6D9BA" wp14:editId="440B8F62">
              <wp:simplePos x="0" y="0"/>
              <wp:positionH relativeFrom="margin">
                <wp:posOffset>-218440</wp:posOffset>
              </wp:positionH>
              <wp:positionV relativeFrom="paragraph">
                <wp:posOffset>196850</wp:posOffset>
              </wp:positionV>
              <wp:extent cx="1663065" cy="3505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E92" w:rsidRPr="005246DF" w:rsidRDefault="00CD2E92" w:rsidP="00CD2E92">
                          <w:pPr>
                            <w:spacing w:after="0" w:line="240" w:lineRule="auto"/>
                            <w:rPr>
                              <w:sz w:val="16"/>
                              <w:szCs w:val="16"/>
                            </w:rPr>
                          </w:pPr>
                          <w:r w:rsidRPr="005246DF">
                            <w:rPr>
                              <w:sz w:val="16"/>
                              <w:szCs w:val="16"/>
                            </w:rPr>
                            <w:t xml:space="preserve">Reviewed </w:t>
                          </w:r>
                          <w:r w:rsidR="00DD0605">
                            <w:rPr>
                              <w:sz w:val="16"/>
                              <w:szCs w:val="16"/>
                            </w:rPr>
                            <w:t>September</w:t>
                          </w:r>
                          <w:r w:rsidR="006E5748">
                            <w:rPr>
                              <w:sz w:val="16"/>
                              <w:szCs w:val="16"/>
                            </w:rPr>
                            <w:t xml:space="preserve"> </w:t>
                          </w:r>
                          <w:r>
                            <w:rPr>
                              <w:sz w:val="16"/>
                              <w:szCs w:val="16"/>
                            </w:rPr>
                            <w:t>20</w:t>
                          </w:r>
                          <w:r w:rsidR="006E5748">
                            <w:rPr>
                              <w:sz w:val="16"/>
                              <w:szCs w:val="16"/>
                            </w:rPr>
                            <w:t>20</w:t>
                          </w:r>
                          <w:r>
                            <w:rPr>
                              <w:sz w:val="16"/>
                              <w:szCs w:val="16"/>
                            </w:rPr>
                            <w:t xml:space="preserve"> </w:t>
                          </w:r>
                          <w:r w:rsidR="006E5748">
                            <w:rPr>
                              <w:sz w:val="16"/>
                              <w:szCs w:val="16"/>
                            </w:rPr>
                            <w:t>V5</w:t>
                          </w:r>
                          <w:r>
                            <w:rPr>
                              <w:sz w:val="16"/>
                              <w:szCs w:val="16"/>
                            </w:rPr>
                            <w:t>.</w:t>
                          </w:r>
                        </w:p>
                        <w:p w:rsidR="00CD2E92" w:rsidRPr="00F0552E" w:rsidRDefault="00CD2E92" w:rsidP="00CD2E92">
                          <w:pPr>
                            <w:spacing w:after="0" w:line="240" w:lineRule="auto"/>
                            <w:rPr>
                              <w:sz w:val="16"/>
                              <w:szCs w:val="16"/>
                            </w:rPr>
                          </w:pPr>
                          <w:r>
                            <w:rPr>
                              <w:sz w:val="16"/>
                              <w:szCs w:val="16"/>
                            </w:rPr>
                            <w:t>Uncontrolled when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D9BA" id="_x0000_t202" coordsize="21600,21600" o:spt="202" path="m,l,21600r21600,l21600,xe">
              <v:stroke joinstyle="miter"/>
              <v:path gradientshapeok="t" o:connecttype="rect"/>
            </v:shapetype>
            <v:shape id="Text Box 21" o:spid="_x0000_s1026" type="#_x0000_t202" style="position:absolute;margin-left:-17.2pt;margin-top:15.5pt;width:130.95pt;height:27.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" stroked="f">
              <v:textbox>
                <w:txbxContent>
                  <w:p w:rsidR="00CD2E92" w:rsidRPr="005246DF" w:rsidRDefault="00CD2E92" w:rsidP="00CD2E92">
                    <w:pPr>
                      <w:spacing w:after="0" w:line="240" w:lineRule="auto"/>
                      <w:rPr>
                        <w:sz w:val="16"/>
                        <w:szCs w:val="16"/>
                      </w:rPr>
                    </w:pPr>
                    <w:r w:rsidRPr="005246DF">
                      <w:rPr>
                        <w:sz w:val="16"/>
                        <w:szCs w:val="16"/>
                      </w:rPr>
                      <w:t xml:space="preserve">Reviewed </w:t>
                    </w:r>
                    <w:r w:rsidR="00DD0605">
                      <w:rPr>
                        <w:sz w:val="16"/>
                        <w:szCs w:val="16"/>
                      </w:rPr>
                      <w:t>September</w:t>
                    </w:r>
                    <w:r w:rsidR="006E5748">
                      <w:rPr>
                        <w:sz w:val="16"/>
                        <w:szCs w:val="16"/>
                      </w:rPr>
                      <w:t xml:space="preserve"> </w:t>
                    </w:r>
                    <w:r>
                      <w:rPr>
                        <w:sz w:val="16"/>
                        <w:szCs w:val="16"/>
                      </w:rPr>
                      <w:t>20</w:t>
                    </w:r>
                    <w:r w:rsidR="006E5748">
                      <w:rPr>
                        <w:sz w:val="16"/>
                        <w:szCs w:val="16"/>
                      </w:rPr>
                      <w:t>20</w:t>
                    </w:r>
                    <w:r>
                      <w:rPr>
                        <w:sz w:val="16"/>
                        <w:szCs w:val="16"/>
                      </w:rPr>
                      <w:t xml:space="preserve"> </w:t>
                    </w:r>
                    <w:r w:rsidR="006E5748">
                      <w:rPr>
                        <w:sz w:val="16"/>
                        <w:szCs w:val="16"/>
                      </w:rPr>
                      <w:t>V5</w:t>
                    </w:r>
                    <w:r>
                      <w:rPr>
                        <w:sz w:val="16"/>
                        <w:szCs w:val="16"/>
                      </w:rPr>
                      <w:t>.</w:t>
                    </w:r>
                  </w:p>
                  <w:p w:rsidR="00CD2E92" w:rsidRPr="00F0552E" w:rsidRDefault="00CD2E92" w:rsidP="00CD2E92">
                    <w:pPr>
                      <w:spacing w:after="0" w:line="240" w:lineRule="auto"/>
                      <w:rPr>
                        <w:sz w:val="16"/>
                        <w:szCs w:val="16"/>
                      </w:rPr>
                    </w:pPr>
                    <w:r>
                      <w:rPr>
                        <w:sz w:val="16"/>
                        <w:szCs w:val="16"/>
                      </w:rPr>
                      <w:t>Uncontrolled when printed</w:t>
                    </w:r>
                  </w:p>
                </w:txbxContent>
              </v:textbox>
              <w10:wrap anchorx="margin"/>
              <w10:anchorlock/>
            </v:shape>
          </w:pict>
        </mc:Fallback>
      </mc:AlternateContent>
    </w:r>
    <w:r w:rsidRPr="00CD2E92">
      <w:rPr>
        <w:noProof/>
        <w:lang w:eastAsia="zh-TW"/>
      </w:rPr>
      <mc:AlternateContent>
        <mc:Choice Requires="wps">
          <w:drawing>
            <wp:anchor distT="0" distB="0" distL="114300" distR="114300" simplePos="0" relativeHeight="251658752" behindDoc="0" locked="1" layoutInCell="1" allowOverlap="1" wp14:anchorId="0A888224" wp14:editId="31F542E5">
              <wp:simplePos x="0" y="0"/>
              <wp:positionH relativeFrom="margin">
                <wp:posOffset>2144395</wp:posOffset>
              </wp:positionH>
              <wp:positionV relativeFrom="paragraph">
                <wp:posOffset>196850</wp:posOffset>
              </wp:positionV>
              <wp:extent cx="2040890" cy="3581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E92" w:rsidRDefault="00CD2E92" w:rsidP="00CD2E92">
                          <w:pPr>
                            <w:spacing w:after="0" w:line="240" w:lineRule="auto"/>
                            <w:jc w:val="center"/>
                            <w:rPr>
                              <w:sz w:val="16"/>
                              <w:szCs w:val="16"/>
                            </w:rPr>
                          </w:pPr>
                          <w:r w:rsidRPr="006128CE">
                            <w:rPr>
                              <w:sz w:val="16"/>
                              <w:szCs w:val="16"/>
                            </w:rPr>
                            <w:t>Organisational Safety and</w:t>
                          </w:r>
                          <w:r>
                            <w:rPr>
                              <w:sz w:val="16"/>
                              <w:szCs w:val="16"/>
                            </w:rPr>
                            <w:t xml:space="preserve"> W</w:t>
                          </w:r>
                          <w:r w:rsidRPr="006128CE">
                            <w:rPr>
                              <w:sz w:val="16"/>
                              <w:szCs w:val="16"/>
                            </w:rPr>
                            <w:t>ellbeing</w:t>
                          </w:r>
                        </w:p>
                        <w:p w:rsidR="00CD2E92" w:rsidRPr="00D65DEB" w:rsidRDefault="00CD2E92" w:rsidP="00CD2E92">
                          <w:pPr>
                            <w:spacing w:after="0" w:line="240" w:lineRule="auto"/>
                            <w:jc w:val="center"/>
                          </w:pPr>
                          <w:r>
                            <w:rPr>
                              <w:sz w:val="16"/>
                              <w:szCs w:val="16"/>
                            </w:rPr>
                            <w:t>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88224" id="Text Box 4" o:spid="_x0000_s1027" type="#_x0000_t202" style="position:absolute;margin-left:168.85pt;margin-top:15.5pt;width:160.7pt;height:2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phQIAABY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" stroked="f">
              <v:textbox>
                <w:txbxContent>
                  <w:p w:rsidR="00CD2E92" w:rsidRDefault="00CD2E92" w:rsidP="00CD2E92">
                    <w:pPr>
                      <w:spacing w:after="0" w:line="240" w:lineRule="auto"/>
                      <w:jc w:val="center"/>
                      <w:rPr>
                        <w:sz w:val="16"/>
                        <w:szCs w:val="16"/>
                      </w:rPr>
                    </w:pPr>
                    <w:r w:rsidRPr="006128CE">
                      <w:rPr>
                        <w:sz w:val="16"/>
                        <w:szCs w:val="16"/>
                      </w:rPr>
                      <w:t>Organisational Safety and</w:t>
                    </w:r>
                    <w:r>
                      <w:rPr>
                        <w:sz w:val="16"/>
                        <w:szCs w:val="16"/>
                      </w:rPr>
                      <w:t xml:space="preserve"> W</w:t>
                    </w:r>
                    <w:r w:rsidRPr="006128CE">
                      <w:rPr>
                        <w:sz w:val="16"/>
                        <w:szCs w:val="16"/>
                      </w:rPr>
                      <w:t>ellbeing</w:t>
                    </w:r>
                  </w:p>
                  <w:p w:rsidR="00CD2E92" w:rsidRPr="00D65DEB" w:rsidRDefault="00CD2E92" w:rsidP="00CD2E92">
                    <w:pPr>
                      <w:spacing w:after="0" w:line="240" w:lineRule="auto"/>
                      <w:jc w:val="center"/>
                    </w:pPr>
                    <w:r>
                      <w:rPr>
                        <w:sz w:val="16"/>
                        <w:szCs w:val="16"/>
                      </w:rPr>
                      <w:t>Department of Education</w:t>
                    </w:r>
                  </w:p>
                </w:txbxContent>
              </v:textbox>
              <w10:wrap anchorx="margin"/>
              <w10:anchorlock/>
            </v:shape>
          </w:pict>
        </mc:Fallback>
      </mc:AlternateContent>
    </w:r>
    <w:r w:rsidR="002712BD">
      <w:rPr>
        <w:noProof/>
        <w:lang w:eastAsia="zh-TW"/>
      </w:rPr>
      <w:drawing>
        <wp:anchor distT="0" distB="0" distL="114300" distR="114300" simplePos="0" relativeHeight="251656704" behindDoc="1" locked="0" layoutInCell="1" allowOverlap="1" wp14:anchorId="29141E4A" wp14:editId="03DAC139">
          <wp:simplePos x="0" y="0"/>
          <wp:positionH relativeFrom="page">
            <wp:posOffset>1693</wp:posOffset>
          </wp:positionH>
          <wp:positionV relativeFrom="page">
            <wp:posOffset>9725634</wp:posOffset>
          </wp:positionV>
          <wp:extent cx="7556614" cy="972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0D" w:rsidRDefault="0064460D" w:rsidP="00190C24">
      <w:r>
        <w:separator/>
      </w:r>
    </w:p>
  </w:footnote>
  <w:footnote w:type="continuationSeparator" w:id="0">
    <w:p w:rsidR="0064460D" w:rsidRDefault="0064460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TW"/>
      </w:rPr>
      <w:drawing>
        <wp:anchor distT="0" distB="0" distL="114300" distR="114300" simplePos="0" relativeHeight="251655680" behindDoc="1" locked="1" layoutInCell="1" allowOverlap="1" wp14:anchorId="368820A2" wp14:editId="1F58AD23">
          <wp:simplePos x="0" y="0"/>
          <wp:positionH relativeFrom="page">
            <wp:align>left</wp:align>
          </wp:positionH>
          <wp:positionV relativeFrom="page">
            <wp:align>top</wp:align>
          </wp:positionV>
          <wp:extent cx="7560000" cy="1080000"/>
          <wp:effectExtent l="0" t="0" r="9525"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7F0"/>
    <w:multiLevelType w:val="hybridMultilevel"/>
    <w:tmpl w:val="5BE28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5E23C6E"/>
    <w:multiLevelType w:val="hybridMultilevel"/>
    <w:tmpl w:val="1528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46D4A"/>
    <w:multiLevelType w:val="hybridMultilevel"/>
    <w:tmpl w:val="29DADD16"/>
    <w:lvl w:ilvl="0" w:tplc="150234D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75F64"/>
    <w:multiLevelType w:val="hybridMultilevel"/>
    <w:tmpl w:val="95E04246"/>
    <w:lvl w:ilvl="0" w:tplc="B71E716A">
      <w:start w:val="1"/>
      <w:numFmt w:val="bullet"/>
      <w:lvlText w:val=""/>
      <w:lvlJc w:val="left"/>
      <w:pPr>
        <w:tabs>
          <w:tab w:val="num" w:pos="600"/>
        </w:tabs>
        <w:ind w:left="6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AEF56D4"/>
    <w:multiLevelType w:val="hybridMultilevel"/>
    <w:tmpl w:val="F27AD6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71D37E0F"/>
    <w:multiLevelType w:val="hybridMultilevel"/>
    <w:tmpl w:val="B7D4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452608"/>
    <w:multiLevelType w:val="hybridMultilevel"/>
    <w:tmpl w:val="DBB2E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2"/>
    <w:rsid w:val="000009C9"/>
    <w:rsid w:val="0002155B"/>
    <w:rsid w:val="000425F7"/>
    <w:rsid w:val="000436FC"/>
    <w:rsid w:val="00063AD9"/>
    <w:rsid w:val="000A7439"/>
    <w:rsid w:val="000B38A9"/>
    <w:rsid w:val="000B61AC"/>
    <w:rsid w:val="000F7FDE"/>
    <w:rsid w:val="00102621"/>
    <w:rsid w:val="001758D6"/>
    <w:rsid w:val="00190C24"/>
    <w:rsid w:val="001E4ED4"/>
    <w:rsid w:val="002371F7"/>
    <w:rsid w:val="0026467A"/>
    <w:rsid w:val="002712BD"/>
    <w:rsid w:val="002A5D5B"/>
    <w:rsid w:val="002A65B9"/>
    <w:rsid w:val="002B5FD6"/>
    <w:rsid w:val="002C3128"/>
    <w:rsid w:val="002F78A2"/>
    <w:rsid w:val="0031307E"/>
    <w:rsid w:val="00320636"/>
    <w:rsid w:val="00362DF0"/>
    <w:rsid w:val="00385A56"/>
    <w:rsid w:val="003A5C69"/>
    <w:rsid w:val="003E025E"/>
    <w:rsid w:val="003E1746"/>
    <w:rsid w:val="003E7430"/>
    <w:rsid w:val="003F643A"/>
    <w:rsid w:val="00404BCA"/>
    <w:rsid w:val="0040798B"/>
    <w:rsid w:val="00411E7F"/>
    <w:rsid w:val="004B4869"/>
    <w:rsid w:val="004D0B69"/>
    <w:rsid w:val="00500693"/>
    <w:rsid w:val="00516F5C"/>
    <w:rsid w:val="00541B93"/>
    <w:rsid w:val="00564DFF"/>
    <w:rsid w:val="00567028"/>
    <w:rsid w:val="005E400A"/>
    <w:rsid w:val="005E5F72"/>
    <w:rsid w:val="005F4331"/>
    <w:rsid w:val="00620660"/>
    <w:rsid w:val="006239A5"/>
    <w:rsid w:val="00636B71"/>
    <w:rsid w:val="0064460D"/>
    <w:rsid w:val="00663104"/>
    <w:rsid w:val="006640AC"/>
    <w:rsid w:val="00687A6A"/>
    <w:rsid w:val="006A6CC2"/>
    <w:rsid w:val="006C3D8E"/>
    <w:rsid w:val="006C6DAD"/>
    <w:rsid w:val="006E5748"/>
    <w:rsid w:val="00702DAC"/>
    <w:rsid w:val="00705591"/>
    <w:rsid w:val="0070773A"/>
    <w:rsid w:val="007212E6"/>
    <w:rsid w:val="00796F60"/>
    <w:rsid w:val="007A156C"/>
    <w:rsid w:val="0080579A"/>
    <w:rsid w:val="00806B6F"/>
    <w:rsid w:val="00852717"/>
    <w:rsid w:val="00866D02"/>
    <w:rsid w:val="00885074"/>
    <w:rsid w:val="00907963"/>
    <w:rsid w:val="00924B3C"/>
    <w:rsid w:val="00924D90"/>
    <w:rsid w:val="0096078C"/>
    <w:rsid w:val="0096595E"/>
    <w:rsid w:val="009B7893"/>
    <w:rsid w:val="009E5EE5"/>
    <w:rsid w:val="009F02B3"/>
    <w:rsid w:val="00A47F67"/>
    <w:rsid w:val="00A61BC8"/>
    <w:rsid w:val="00A65710"/>
    <w:rsid w:val="00A65E4B"/>
    <w:rsid w:val="00A90EAC"/>
    <w:rsid w:val="00A95483"/>
    <w:rsid w:val="00AB0A25"/>
    <w:rsid w:val="00AC555D"/>
    <w:rsid w:val="00AD2501"/>
    <w:rsid w:val="00AD6287"/>
    <w:rsid w:val="00AE0CD6"/>
    <w:rsid w:val="00B33337"/>
    <w:rsid w:val="00B7618D"/>
    <w:rsid w:val="00B8699D"/>
    <w:rsid w:val="00B96734"/>
    <w:rsid w:val="00B9771E"/>
    <w:rsid w:val="00BC4AA9"/>
    <w:rsid w:val="00C0519D"/>
    <w:rsid w:val="00C81BBB"/>
    <w:rsid w:val="00CB07AD"/>
    <w:rsid w:val="00CD2E92"/>
    <w:rsid w:val="00CD793C"/>
    <w:rsid w:val="00D01CD2"/>
    <w:rsid w:val="00D026E3"/>
    <w:rsid w:val="00D75050"/>
    <w:rsid w:val="00D82B9B"/>
    <w:rsid w:val="00D842DF"/>
    <w:rsid w:val="00DC5E03"/>
    <w:rsid w:val="00DD0605"/>
    <w:rsid w:val="00E17F88"/>
    <w:rsid w:val="00E46A22"/>
    <w:rsid w:val="00E6693B"/>
    <w:rsid w:val="00ED14F5"/>
    <w:rsid w:val="00ED6493"/>
    <w:rsid w:val="00EF474F"/>
    <w:rsid w:val="00EF4AC5"/>
    <w:rsid w:val="00EF7CFA"/>
    <w:rsid w:val="00F25B93"/>
    <w:rsid w:val="00F367B3"/>
    <w:rsid w:val="00F447A2"/>
    <w:rsid w:val="00FB7C42"/>
    <w:rsid w:val="00FC456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91E031-1485-4129-A7B7-63856A7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CD2E92"/>
    <w:rPr>
      <w:color w:val="0000FF"/>
      <w:u w:val="single"/>
    </w:rPr>
  </w:style>
  <w:style w:type="character" w:styleId="FollowedHyperlink">
    <w:name w:val="FollowedHyperlink"/>
    <w:basedOn w:val="DefaultParagraphFont"/>
    <w:uiPriority w:val="99"/>
    <w:semiHidden/>
    <w:unhideWhenUsed/>
    <w:rsid w:val="00EF7CFA"/>
    <w:rPr>
      <w:color w:val="954F72" w:themeColor="followedHyperlink"/>
      <w:u w:val="single"/>
    </w:rPr>
  </w:style>
  <w:style w:type="paragraph" w:styleId="BalloonText">
    <w:name w:val="Balloon Text"/>
    <w:basedOn w:val="Normal"/>
    <w:link w:val="BalloonTextChar"/>
    <w:uiPriority w:val="99"/>
    <w:semiHidden/>
    <w:unhideWhenUsed/>
    <w:rsid w:val="0079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60"/>
    <w:rPr>
      <w:rFonts w:ascii="Segoe UI" w:hAnsi="Segoe UI" w:cs="Segoe UI"/>
      <w:sz w:val="18"/>
      <w:szCs w:val="18"/>
    </w:rPr>
  </w:style>
  <w:style w:type="character" w:styleId="CommentReference">
    <w:name w:val="annotation reference"/>
    <w:basedOn w:val="DefaultParagraphFont"/>
    <w:uiPriority w:val="99"/>
    <w:semiHidden/>
    <w:unhideWhenUsed/>
    <w:rsid w:val="00796F60"/>
    <w:rPr>
      <w:sz w:val="16"/>
      <w:szCs w:val="16"/>
    </w:rPr>
  </w:style>
  <w:style w:type="paragraph" w:styleId="CommentText">
    <w:name w:val="annotation text"/>
    <w:basedOn w:val="Normal"/>
    <w:link w:val="CommentTextChar"/>
    <w:uiPriority w:val="99"/>
    <w:semiHidden/>
    <w:unhideWhenUsed/>
    <w:rsid w:val="00796F60"/>
    <w:pPr>
      <w:spacing w:line="240" w:lineRule="auto"/>
    </w:pPr>
    <w:rPr>
      <w:sz w:val="20"/>
      <w:szCs w:val="20"/>
    </w:rPr>
  </w:style>
  <w:style w:type="character" w:customStyle="1" w:styleId="CommentTextChar">
    <w:name w:val="Comment Text Char"/>
    <w:basedOn w:val="DefaultParagraphFont"/>
    <w:link w:val="CommentText"/>
    <w:uiPriority w:val="99"/>
    <w:semiHidden/>
    <w:rsid w:val="00796F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6F60"/>
    <w:rPr>
      <w:b/>
      <w:bCs/>
    </w:rPr>
  </w:style>
  <w:style w:type="character" w:customStyle="1" w:styleId="CommentSubjectChar">
    <w:name w:val="Comment Subject Char"/>
    <w:basedOn w:val="CommentTextChar"/>
    <w:link w:val="CommentSubject"/>
    <w:uiPriority w:val="99"/>
    <w:semiHidden/>
    <w:rsid w:val="00796F60"/>
    <w:rPr>
      <w:rFonts w:ascii="Arial" w:hAnsi="Arial"/>
      <w:b/>
      <w:bCs/>
      <w:sz w:val="20"/>
      <w:szCs w:val="20"/>
    </w:rPr>
  </w:style>
  <w:style w:type="paragraph" w:styleId="Revision">
    <w:name w:val="Revision"/>
    <w:hidden/>
    <w:uiPriority w:val="99"/>
    <w:semiHidden/>
    <w:rsid w:val="00FB7C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139611763">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pdf/inforce/current/sl-2011-0240" TargetMode="External"/><Relationship Id="rId18" Type="http://schemas.openxmlformats.org/officeDocument/2006/relationships/hyperlink" Target="https://intranet.qed.qld.gov.au/Services/facilities/Forms/Documents/school-cleaners-questions-and-answers.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nrme.qld.gov.au/business/mining/safety-and-health/alerts-and-bulletins/explosives/regulation-of-security-sensitive-ammonium-nitrate-ssan-in-queensland" TargetMode="External"/><Relationship Id="rId7" Type="http://schemas.openxmlformats.org/officeDocument/2006/relationships/settings" Target="settings.xml"/><Relationship Id="rId12" Type="http://schemas.openxmlformats.org/officeDocument/2006/relationships/hyperlink" Target="https://www.legislation.qld.gov.au/view/pdf/inforce/current/sl-2011-0240" TargetMode="External"/><Relationship Id="rId17" Type="http://schemas.openxmlformats.org/officeDocument/2006/relationships/hyperlink" Target="https://www.legislation.qld.gov.au/view/pdf/inforce/2018-03-09/sl-1996-041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qld.gov.au/view/pdf/inforce/current/sl-2011-0240" TargetMode="External"/><Relationship Id="rId20" Type="http://schemas.openxmlformats.org/officeDocument/2006/relationships/hyperlink" Target="https://chemistryaustralia.org.au/safety-environment/code_of_practice_for_supply_diversion_into_illicit_drug_manufa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initiativesstrategies/Documents/cca-timber.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qld.gov.au/view/pdf/asmade/sl-1996-0414"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qld.gov.au/initiativesstrategies/Documents/chemical-pre-purchase-risk-assess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inforce/current/sl-2011-0240" TargetMode="External"/><Relationship Id="rId22" Type="http://schemas.openxmlformats.org/officeDocument/2006/relationships/hyperlink" Target="https://environment.des.qld.gov.au/__data/assets/pdf_file/0035/88982/pr-gl-managing-pcb-equipmen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2020-09-14T23:23:24+00:00</PPModeratedDate>
    <PPLastReviewedDate xmlns="f114f5df-7614-43c1-ba8e-2daa6e537108">2020-09-14T23:23:24+00:00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2020-09-14T01:14:54+00:00</PPSubmittedDate>
    <PPPublishedNotificationAddresses xmlns="f114f5df-7614-43c1-ba8e-2daa6e537108" xsi:nil="true"/>
    <PPReviewDate xmlns="f114f5df-7614-43c1-ba8e-2daa6e537108" xsi:nil="true"/>
    <Category_x0020_Initiatives_x0020_and_x0020_Strategies xmlns="f114f5df-7614-43c1-ba8e-2daa6e537108">Health and wellbeing</Category_x0020_Initiatives_x0020_and_x0020_Strategie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FF999-4D2C-4E12-95DD-4D38BB311EAB}"/>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4B29FD35-F252-4EC6-B7A4-D3311424B034}"/>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and high risk chemicals in departmental workplaces</dc:title>
  <dc:subject/>
  <dc:creator>Queensland Government</dc:creator>
  <cp:keywords>Prohibited and high risk chemicals in departmental workplaces</cp:keywords>
  <dc:description/>
  <cp:lastModifiedBy>TIMMERS, Mandy</cp:lastModifiedBy>
  <cp:revision>2</cp:revision>
  <cp:lastPrinted>2018-01-16T02:55:00Z</cp:lastPrinted>
  <dcterms:created xsi:type="dcterms:W3CDTF">2020-09-14T00:56:00Z</dcterms:created>
  <dcterms:modified xsi:type="dcterms:W3CDTF">2020-09-14T00:56:00Z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y fmtid="{D5CDD505-2E9C-101B-9397-08002B2CF9AE}" pid="3" name="URL">
    <vt:lpwstr/>
  </property>
</Properties>
</file>