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E145BE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7D4206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12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plug in until all adjustments have been made.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Examine the material to be sanded for splits, loose knots and nails, etc.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Always select the correct abrasive and grade of disc.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Sanding discs with holes must align with those on the rubber pad to allow for efficient dust collection.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Always make sure a dust bag is fitted and emptied regularly for efficient operation of the sander. Some machines may be fitted to ducted dust extraction.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work</w:t>
                                  </w:r>
                                  <w:r w:rsidR="00C30E67"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piece is secure and well supported.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power cord is well clear of the work</w:t>
                                  </w:r>
                                  <w:r w:rsidR="00C30E67"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piece.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The sander is best used when held with both hands.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Keep finger and hands well clear of moving parts.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Allow the sander to re</w:t>
                                  </w:r>
                                  <w:bookmarkStart w:id="0" w:name="_GoBack"/>
                                  <w:bookmarkEnd w:id="0"/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ach operating speed, then apply load gradually. Do not apply excessive force.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Avoid blocking and covering the motor ventilation slots with your hands.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Avoid prolonged use. This could overheat the motor.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Maintain a constant pace to avoid uneven standing. </w:t>
                                  </w:r>
                                </w:p>
                                <w:p w:rsidR="00604304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Be cautious of sanding too close to edges and corners. </w:t>
                                  </w:r>
                                </w:p>
                                <w:p w:rsidR="00AC0F7C" w:rsidRPr="00F11455" w:rsidRDefault="00604304" w:rsidP="00F114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Replace sanding disc once edges are torn or frayed.  </w:t>
                                  </w:r>
                                  <w:r w:rsidR="00370B3A"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AC0F7C" w:rsidRPr="00F1145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604304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Always wear safety goggles and a dust mask</w:t>
                                  </w:r>
                                </w:p>
                              </w:tc>
                            </w:tr>
                            <w:tr w:rsidR="006E5A55" w:rsidTr="00F11455">
                              <w:trPr>
                                <w:trHeight w:val="984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F11455" w:rsidRDefault="006E5A55" w:rsidP="00F11455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11455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20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AC0F7C" w:rsidP="00F114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this tool to the appropriate storage cupboard.</w:t>
                                  </w:r>
                                </w:p>
                                <w:p w:rsidR="00AC0F7C" w:rsidRPr="00296199" w:rsidRDefault="00AC0F7C" w:rsidP="00F114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F11455" w:rsidRDefault="006E5A55" w:rsidP="00F11455">
                                  <w:pPr>
                                    <w:pStyle w:val="Header"/>
                                    <w:spacing w:before="120"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F11455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370B3A" w:rsidRDefault="006E5A55" w:rsidP="00F1145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rotating and abrasive parts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70B3A" w:rsidRDefault="006E5A55" w:rsidP="00F1145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Excessive dust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6E5A55" w:rsidRDefault="006E5A55" w:rsidP="00F11455">
                                  <w:pPr>
                                    <w:spacing w:before="60" w:after="60"/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="00370B3A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70B3A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 w:rsidRP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Burns </w:t>
                                  </w:r>
                                  <w:r w:rsidR="0060430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(friction)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ZERAIAAHwEAAAOAAAAZHJzL2Uyb0RvYy54bWysVE1v2zAMvQ/YfxB0X504H9uCOkXWIsOA&#10;oi3QDj0rshwbkEVNUmJnv35PcpJ23U7DLjJFUvx4j/TlVd9qtlfON2QKPr4YcaaMpLIx24J/f1p/&#10;+MSZD8KUQpNRBT8oz6+W799ddnahcqpJl8oxBDF+0dmC1yHYRZZ5WatW+AuyysBYkWtFwNVts9KJ&#10;DtFbneWj0TzryJXWkVTeQ3szGPkyxa8qJcN9VXkVmC44agvpdOncxDNbXorF1glbN/JYhviHKlrR&#10;GCQ9h7oRQbCda/4I1TbSkacqXEhqM6qqRqrUA7oZj95081gLq1IvAMfbM0z+/4WVd/sHx5oS3E04&#10;M6IFR0+qD+wL9Qwq4NNZv4Dbo4Vj6KGH70nvoYxt95Vr4xcNMdiB9OGMbowmocznk/kkzzmTsM3m&#10;8+lskvDPXp5b58NXRS2LQsEd6Euoiv2tDygFrieXmM2Tbsp1o3W6xJFR19qxvQDZOqQi8eI3L21Y&#10;V/D5ZDZKgQ3F50NkbZAgNjs0FaXQb/ojAhsqDwDA0TBC3sp1gyJvhQ8PwmFm0DP2INzjqDQhCR0l&#10;zmpyP/+mj/6gElbOOsxgwf2PnXCKM/3NgOTP4+k0Dm26TGcfc1zca8vmtcXs2mtC52NsnJVJjP5B&#10;n8TKUfuMdVnFrDAJI5G74OEkXodhM7BuUq1WyQljakW4NY9WxtAR6UjBU/8snD3yFEDxHZ2mVSze&#10;0DX4xpeGVrtAVZO4jAAPqB5xx4gnio/rGHfo9T15vfw0lr8AAAD//wMAUEsDBBQABgAIAAAAIQCK&#10;w2Kf4wAAAA0BAAAPAAAAZHJzL2Rvd25yZXYueG1sTI/LTsMwEEX3SPyDNUhsELXjqtCEOBVCPCR2&#10;NC2InRsPSURsR7GbhL9nuoLdjObozrn5ZrYdG3EIrXcKkoUAhq7ypnW1gl35dL0GFqJ2RnfeoYIf&#10;DLApzs9ynRk/uTcct7FmFOJCphU0MfYZ56Fq0Oqw8D06un35wepI61BzM+iJwm3HpRA33OrW0YdG&#10;9/jQYPW9PVoFn1f1x2uYn/fTcrXsH1/G8vbdlEpdXsz3d8AizvEPhpM+qUNBTgd/dCawTsEqlSmh&#10;CqRMqdSJEGKdADvQlMgkAV7k/H+L4hcAAP//AwBQSwECLQAUAAYACAAAACEAtoM4kv4AAADhAQAA&#10;EwAAAAAAAAAAAAAAAAAAAAAAW0NvbnRlbnRfVHlwZXNdLnhtbFBLAQItABQABgAIAAAAIQA4/SH/&#10;1gAAAJQBAAALAAAAAAAAAAAAAAAAAC8BAABfcmVscy8ucmVsc1BLAQItABQABgAIAAAAIQDjypZE&#10;RAIAAHwEAAAOAAAAAAAAAAAAAAAAAC4CAABkcnMvZTJvRG9jLnhtbFBLAQItABQABgAIAAAAIQCK&#10;w2Kf4wAAAA0BAAAPAAAAAAAAAAAAAAAAAJ4EAABkcnMvZG93bnJldi54bWxQSwUGAAAAAAQABADz&#10;AAAArgUAAAAA&#10;" fillcolor="white [3201]" stroked="f" strokeweight=".5pt">
                <v:textbox>
                  <w:txbxContent>
                    <w:p w:rsidR="008666D3" w:rsidRPr="00E145BE" w:rsidRDefault="008666D3" w:rsidP="007D4206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12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plug in until all adjustments have been made.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Examine the material to be sanded for splits, loose knots and nails, etc.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Always select the correct abrasive and grade of disc.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Sanding discs with holes must align with those on the rubber pad to allow for efficient dust collection.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Always make sure a dust bag is fitted and emptied regularly for efficient operation of the sander. Some machines may be fitted to ducted dust extraction.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work</w:t>
                            </w:r>
                            <w:r w:rsidR="00C30E67"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piece is secure and well supported.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power cord is well clear of the work</w:t>
                            </w:r>
                            <w:r w:rsidR="00C30E67"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piece.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The sander is best used when held with both hands.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Keep finger and hands well clear of moving parts.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Allow the sander to re</w:t>
                            </w:r>
                            <w:bookmarkStart w:id="1" w:name="_GoBack"/>
                            <w:bookmarkEnd w:id="1"/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ach operating speed, then apply load gradually. Do not apply excessive force.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Avoid blocking and covering the motor ventilation slots with your hands.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Avoid prolonged use. This could overheat the motor.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Maintain a constant pace to avoid uneven standing. </w:t>
                            </w:r>
                          </w:p>
                          <w:p w:rsidR="00604304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Be cautious of sanding too close to edges and corners. </w:t>
                            </w:r>
                          </w:p>
                          <w:p w:rsidR="00AC0F7C" w:rsidRPr="00F11455" w:rsidRDefault="00604304" w:rsidP="00F1145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Replace sanding disc once edges are torn or frayed.  </w:t>
                            </w:r>
                            <w:r w:rsidR="00370B3A"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C0F7C" w:rsidRPr="00F1145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604304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Always wear safety goggles and a dust mask</w:t>
                            </w:r>
                          </w:p>
                        </w:tc>
                      </w:tr>
                      <w:tr w:rsidR="006E5A55" w:rsidTr="00F11455">
                        <w:trPr>
                          <w:trHeight w:val="984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F11455" w:rsidRDefault="006E5A55" w:rsidP="00F1145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11455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20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AC0F7C" w:rsidP="00F114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this tool to the appropriate storage cupboard.</w:t>
                            </w:r>
                          </w:p>
                          <w:p w:rsidR="00AC0F7C" w:rsidRPr="00296199" w:rsidRDefault="00AC0F7C" w:rsidP="00F114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F11455" w:rsidRDefault="006E5A55" w:rsidP="00F11455">
                            <w:pPr>
                              <w:pStyle w:val="Header"/>
                              <w:spacing w:before="120"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F11455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370B3A" w:rsidRDefault="006E5A55" w:rsidP="00F11455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rotating and abrasive parts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370B3A" w:rsidRDefault="006E5A55" w:rsidP="00F11455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Excessive dust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</w:p>
                          <w:p w:rsidR="006E5A55" w:rsidRDefault="006E5A55" w:rsidP="00F11455">
                            <w:pPr>
                              <w:spacing w:before="60" w:after="60"/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="00370B3A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70B3A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 w:rsidRP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Burns </w:t>
                            </w:r>
                            <w:r w:rsidR="0060430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(friction)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231569</wp:posOffset>
                </wp:positionH>
                <wp:positionV relativeFrom="paragraph">
                  <wp:posOffset>1419101</wp:posOffset>
                </wp:positionV>
                <wp:extent cx="2731325" cy="56402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25" cy="5640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54FB774" wp14:editId="5E3D8B25">
                                        <wp:extent cx="428212" cy="43920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212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604304" w:rsidRDefault="00604304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A mask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be worn when excessive airborne dust is created.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CD24EF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CD24E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CD24EF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Hearing protection must be worn when noise levels are identified as excessive.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439387" cy="43938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10" cy="45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or close fitting protective clothing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D24EF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D24EF" w:rsidRPr="008666D3" w:rsidRDefault="00604304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604304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D24EF" w:rsidRPr="00604304" w:rsidRDefault="00604304" w:rsidP="00CD24EF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Gloves must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using this portable power tool.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370B3A" w:rsidRPr="00370B3A" w:rsidRDefault="00CD24EF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this sanding tool has a suitable safe work area</w:t>
                                  </w:r>
                                </w:p>
                                <w:p w:rsidR="00370B3A" w:rsidRPr="00370B3A" w:rsidRDefault="00604304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the power lead and plug for obvious damage</w:t>
                                  </w:r>
                                </w:p>
                                <w:p w:rsidR="00604304" w:rsidRPr="00604304" w:rsidRDefault="00604304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 not use dull or damaged abrasive sanding discs.</w:t>
                                  </w:r>
                                </w:p>
                                <w:p w:rsidR="00AC0F7C" w:rsidRDefault="00604304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the sanding disc is correctly fitted.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.25pt;margin-top:111.75pt;width:215.05pt;height:4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aqRQIAAIEEAAAOAAAAZHJzL2Uyb0RvYy54bWysVE2P2jAQvVfqf7B8LwnhY7sRYUVZUVVC&#10;uytBtWfjOMSS43FtQ0J/fccOsHTbU9WLGc9Mnmfem2H20DWKHIV1EnRBh4OUEqE5lFLvC/p9u/r0&#10;mRLnmS6ZAi0KehKOPsw/fpi1JhcZ1KBKYQmCaJe3pqC19yZPEsdr0TA3ACM0BiuwDfN4tfuktKxF&#10;9EYlWZpOkxZsaSxw4Rx6H/sgnUf8qhLcP1eVE56ogmJtPp42nrtwJvMZy/eWmVrycxnsH6pomNT4&#10;6BXqkXlGDlb+AdVIbsFB5QccmgSqSnIRe8Buhum7bjY1MyL2guQ4c6XJ/T9Y/nR8sUSWBR1TolmD&#10;Em1F58kX6Mg4sNMal2PSxmCa79CNKl/8Dp2h6a6yTfjFdgjGkefTldsAxtGZ3Y2Go2xCCcfYZDpO&#10;s8l9wEnePjfW+a8CGhKMgloUL3LKjmvn+9RLSnjNgZLlSioVL2FgxFJZcmQotfKxSAT/LUtp0hZ0&#10;OpqkEVhD+LxHVhprCc32TQXLd7suUnNteAflCXmw0M+RM3wlsdY1c/6FWRwcbB2XwT/jUSnAt+Bs&#10;UVKD/fk3f8hHPTFKSYuDWFD348CsoER906j0/XA8DpMbL+PJXYYXexvZ3Ub0oVkCEjDEtTM8miHf&#10;q4tZWWhecWcW4VUMMc3x7YL6i7n0/XrgznGxWMQknFXD/FpvDA/QgfCgxLZ7Zdac5fKo9BNcRpbl&#10;71Trc8OXGhYHD5WMkgaee1bP9OOcx6E472RYpNt7zHr755j/AgAA//8DAFBLAwQUAAYACAAAACEA&#10;4qlLn+AAAAALAQAADwAAAGRycy9kb3ducmV2LnhtbEyPy07EMAxF90j8Q2QkNohJaZkMKk1HCPGQ&#10;2DHlIXaZxrQVjVM1mbb8PWYFXtny0fVxsV1cLyYcQ+dJw8UqAYFUe9tRo+Gluj+/AhGiIWt6T6jh&#10;GwNsy+OjwuTWz/SM0y42gkMo5EZDG+OQSxnqFp0JKz8g8e7Tj85EHsdG2tHMHO56mSaJks50xBda&#10;M+Bti/XX7uA0fJw1709heXids3U23D1O1ebNVlqfniw31yAiLvEPhl99VoeSnfb+QDaIXkOm1kxq&#10;SNOMGwYulVIg9kxybUCWhfz/Q/kDAAD//wMAUEsBAi0AFAAGAAgAAAAhALaDOJL+AAAA4QEAABMA&#10;AAAAAAAAAAAAAAAAAAAAAFtDb250ZW50X1R5cGVzXS54bWxQSwECLQAUAAYACAAAACEAOP0h/9YA&#10;AACUAQAACwAAAAAAAAAAAAAAAAAvAQAAX3JlbHMvLnJlbHNQSwECLQAUAAYACAAAACEAD3JGqkUC&#10;AACBBAAADgAAAAAAAAAAAAAAAAAuAgAAZHJzL2Uyb0RvYy54bWxQSwECLQAUAAYACAAAACEA4qlL&#10;n+AAAAALAQAADwAAAAAAAAAAAAAAAACfBAAAZHJzL2Rvd25yZXYueG1sUEsFBgAAAAAEAAQA8wAA&#10;AKwFAAAAAA=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054FB774" wp14:editId="5E3D8B25">
                                  <wp:extent cx="428212" cy="4392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212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604304" w:rsidRDefault="00604304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 mask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 worn when excessive airborne dust is created.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CD24EF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D24EF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CD24EF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Hearing protection must be worn when noise levels are identified as excessive.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439387" cy="43938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AC0F7C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 close fitting protective clothing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CD24EF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D24EF" w:rsidRPr="008666D3" w:rsidRDefault="00604304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604304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D24EF" w:rsidRPr="00604304" w:rsidRDefault="00604304" w:rsidP="00CD24EF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Gloves must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using this portable power tool.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370B3A" w:rsidRPr="00370B3A" w:rsidRDefault="00CD24EF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this sanding tool has a suitable safe work area</w:t>
                            </w:r>
                          </w:p>
                          <w:p w:rsidR="00370B3A" w:rsidRPr="00370B3A" w:rsidRDefault="00604304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the power lead and plug for obvious damage</w:t>
                            </w:r>
                          </w:p>
                          <w:p w:rsidR="00604304" w:rsidRPr="00604304" w:rsidRDefault="00604304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not use dull or damaged abrasive sanding discs.</w:t>
                            </w:r>
                          </w:p>
                          <w:p w:rsidR="00AC0F7C" w:rsidRDefault="00604304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the sanding disc is correctly fitted. </w:t>
                            </w:r>
                            <w:r w:rsidR="00AC0F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731342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Orbital</w:t>
                            </w:r>
                            <w:r w:rsidR="00CD2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Sander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731342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Orbital</w:t>
                      </w:r>
                      <w:r w:rsidR="00CD2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Sander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731342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Orbital</w:t>
                            </w:r>
                            <w:r w:rsidR="00CD2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Sander</w:t>
                            </w:r>
                            <w:r w:rsidR="005F46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731342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Orbital</w:t>
                      </w:r>
                      <w:r w:rsidR="00CD2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Sander</w:t>
                      </w:r>
                      <w:r w:rsidR="005F46B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3C40D9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3C40D9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3C40D9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3C40D9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</w:t>
      </w:r>
      <w:r w:rsidR="003C40D9">
        <w:rPr>
          <w:rFonts w:ascii="Arial" w:hAnsi="Arial" w:cs="Arial"/>
          <w:color w:val="365F91"/>
        </w:rPr>
        <w:t>‘t</w:t>
      </w:r>
      <w:r w:rsidRPr="00A331C5">
        <w:rPr>
          <w:rFonts w:ascii="Arial" w:hAnsi="Arial" w:cs="Arial"/>
          <w:color w:val="365F91"/>
        </w:rPr>
        <w:t>ag</w:t>
      </w:r>
      <w:r w:rsidR="003C40D9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 xml:space="preserve">dotted outlines indicated on the </w:t>
      </w:r>
      <w:r w:rsidR="003C40D9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3C40D9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3C40D9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</w:t>
      </w:r>
      <w:r w:rsidR="006E348D" w:rsidRPr="00A331C5">
        <w:rPr>
          <w:rFonts w:ascii="Arial" w:hAnsi="Arial" w:cs="Arial"/>
          <w:color w:val="365F91"/>
        </w:rPr>
        <w:t xml:space="preserve"> trim to size with a clear 2mm border</w:t>
      </w:r>
    </w:p>
    <w:p w:rsidR="0053629B" w:rsidRPr="003C40D9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3C40D9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296199"/>
    <w:rsid w:val="00327878"/>
    <w:rsid w:val="00370B3A"/>
    <w:rsid w:val="003C40D9"/>
    <w:rsid w:val="00403EE8"/>
    <w:rsid w:val="004269C7"/>
    <w:rsid w:val="0053629B"/>
    <w:rsid w:val="005A736A"/>
    <w:rsid w:val="005F46BF"/>
    <w:rsid w:val="00604304"/>
    <w:rsid w:val="006E348D"/>
    <w:rsid w:val="006E5A55"/>
    <w:rsid w:val="00731342"/>
    <w:rsid w:val="007D4206"/>
    <w:rsid w:val="008666D3"/>
    <w:rsid w:val="008744C6"/>
    <w:rsid w:val="00913CCF"/>
    <w:rsid w:val="00A51578"/>
    <w:rsid w:val="00AC0F7C"/>
    <w:rsid w:val="00C14234"/>
    <w:rsid w:val="00C24D75"/>
    <w:rsid w:val="00C30E67"/>
    <w:rsid w:val="00CD24EF"/>
    <w:rsid w:val="00E145BE"/>
    <w:rsid w:val="00E15158"/>
    <w:rsid w:val="00E944B6"/>
    <w:rsid w:val="00F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9B627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1774F-62C5-428D-BF73-31D5E426B5B1}"/>
</file>

<file path=customXml/itemProps2.xml><?xml version="1.0" encoding="utf-8"?>
<ds:datastoreItem xmlns:ds="http://schemas.openxmlformats.org/officeDocument/2006/customXml" ds:itemID="{E64268E8-9C2C-4584-B21C-3C09F9677E96}"/>
</file>

<file path=customXml/itemProps3.xml><?xml version="1.0" encoding="utf-8"?>
<ds:datastoreItem xmlns:ds="http://schemas.openxmlformats.org/officeDocument/2006/customXml" ds:itemID="{7100BF75-1098-40D9-9907-37186D853C56}"/>
</file>

<file path=customXml/itemProps4.xml><?xml version="1.0" encoding="utf-8"?>
<ds:datastoreItem xmlns:ds="http://schemas.openxmlformats.org/officeDocument/2006/customXml" ds:itemID="{AF4109A4-34BE-4940-A3D7-D975222A4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Sander orbital (Tag)</dc:title>
  <dc:subject/>
  <dc:creator>CULPEPPER, Kristyn</dc:creator>
  <cp:keywords/>
  <dc:description/>
  <cp:lastModifiedBy>OVERETT, Sophie</cp:lastModifiedBy>
  <cp:revision>6</cp:revision>
  <cp:lastPrinted>2018-06-27T05:39:00Z</cp:lastPrinted>
  <dcterms:created xsi:type="dcterms:W3CDTF">2018-07-01T22:10:00Z</dcterms:created>
  <dcterms:modified xsi:type="dcterms:W3CDTF">2018-08-24T03:22:00Z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