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17818" w14:textId="5C46FFF2" w:rsidR="00404BCA" w:rsidRPr="00190C24" w:rsidRDefault="00B453CB" w:rsidP="00CB07AD">
      <w:pPr>
        <w:pStyle w:val="Heading1"/>
      </w:pPr>
      <w:r>
        <w:t xml:space="preserve">Special </w:t>
      </w:r>
      <w:r w:rsidR="00A62E71">
        <w:t>s</w:t>
      </w:r>
      <w:r>
        <w:t xml:space="preserve">chool </w:t>
      </w:r>
      <w:r w:rsidR="00A62E71">
        <w:t>e</w:t>
      </w:r>
      <w:r w:rsidR="00767519">
        <w:t xml:space="preserve">ligibility </w:t>
      </w:r>
      <w:r w:rsidR="000755A0">
        <w:t>(</w:t>
      </w:r>
      <w:r w:rsidR="002B179D">
        <w:t xml:space="preserve">“person with a </w:t>
      </w:r>
      <w:r w:rsidR="000755A0">
        <w:t>d</w:t>
      </w:r>
      <w:r w:rsidR="00BC7C3B">
        <w:t>isability</w:t>
      </w:r>
      <w:r w:rsidR="002B179D">
        <w:t>”</w:t>
      </w:r>
      <w:r w:rsidR="00BC7C3B">
        <w:t xml:space="preserve"> criteria</w:t>
      </w:r>
      <w:r w:rsidR="000755A0">
        <w:t>)</w:t>
      </w:r>
      <w:r w:rsidR="00BC7C3B">
        <w:t xml:space="preserve"> </w:t>
      </w:r>
      <w:r w:rsidR="00A62E71">
        <w:t>p</w:t>
      </w:r>
      <w:r>
        <w:t>olicy</w:t>
      </w:r>
      <w:bookmarkStart w:id="0" w:name="_GoBack"/>
      <w:bookmarkEnd w:id="0"/>
    </w:p>
    <w:p w14:paraId="0039162D" w14:textId="77777777" w:rsidR="00404BCA" w:rsidRDefault="00B453CB" w:rsidP="00190C24">
      <w:pPr>
        <w:pStyle w:val="Heading2"/>
      </w:pPr>
      <w:r>
        <w:t>Audience</w:t>
      </w:r>
    </w:p>
    <w:p w14:paraId="29146DBA" w14:textId="77777777" w:rsidR="00B453CB" w:rsidRDefault="00B453CB" w:rsidP="00B453CB">
      <w:r>
        <w:t>Department-wide</w:t>
      </w:r>
    </w:p>
    <w:p w14:paraId="0FC246F3" w14:textId="77777777" w:rsidR="00B453CB" w:rsidRDefault="00B453CB" w:rsidP="00B453CB">
      <w:pPr>
        <w:pStyle w:val="Heading2"/>
      </w:pPr>
      <w:r>
        <w:t>Purpose</w:t>
      </w:r>
    </w:p>
    <w:p w14:paraId="04F5EAA5" w14:textId="2AD5BDE8" w:rsidR="006E0C5A" w:rsidRDefault="006E0C5A" w:rsidP="00B453CB">
      <w:r>
        <w:t xml:space="preserve">To be eligible for enrolment in a </w:t>
      </w:r>
      <w:r w:rsidR="002B179D">
        <w:t xml:space="preserve">state </w:t>
      </w:r>
      <w:r>
        <w:t xml:space="preserve">special school, section 166(1) of the </w:t>
      </w:r>
      <w:r w:rsidRPr="000C1234">
        <w:rPr>
          <w:i/>
        </w:rPr>
        <w:t>Education (General Provisions) Act 2006</w:t>
      </w:r>
      <w:r>
        <w:t xml:space="preserve"> (the Act) requires </w:t>
      </w:r>
      <w:r w:rsidR="000A41E7">
        <w:t>that:</w:t>
      </w:r>
    </w:p>
    <w:p w14:paraId="47A8D7AF" w14:textId="73AE8275" w:rsidR="006E0C5A" w:rsidRDefault="006E0C5A" w:rsidP="000C1234">
      <w:pPr>
        <w:pStyle w:val="ListParagraph"/>
        <w:numPr>
          <w:ilvl w:val="0"/>
          <w:numId w:val="15"/>
        </w:numPr>
      </w:pPr>
      <w:r>
        <w:t xml:space="preserve">The child or young person </w:t>
      </w:r>
      <w:r w:rsidR="000A41E7">
        <w:t xml:space="preserve">is a </w:t>
      </w:r>
      <w:r w:rsidR="002B179D">
        <w:t>“</w:t>
      </w:r>
      <w:r w:rsidR="000A41E7">
        <w:t>person with a</w:t>
      </w:r>
      <w:r>
        <w:t xml:space="preserve"> disability</w:t>
      </w:r>
      <w:r w:rsidR="001213B4">
        <w:t>”</w:t>
      </w:r>
      <w:r>
        <w:t>; and</w:t>
      </w:r>
    </w:p>
    <w:p w14:paraId="53A0833F" w14:textId="3E910055" w:rsidR="006E0C5A" w:rsidRDefault="006E0C5A" w:rsidP="000C1234">
      <w:pPr>
        <w:pStyle w:val="ListParagraph"/>
        <w:numPr>
          <w:ilvl w:val="0"/>
          <w:numId w:val="15"/>
        </w:numPr>
      </w:pPr>
      <w:r>
        <w:t>The special school is able to cater for their educational needs.</w:t>
      </w:r>
    </w:p>
    <w:p w14:paraId="25DF1B5B" w14:textId="10D3B444" w:rsidR="00A73A9E" w:rsidRDefault="00221A65" w:rsidP="00B453CB">
      <w:r>
        <w:t>Th</w:t>
      </w:r>
      <w:r w:rsidR="00A73A9E">
        <w:t xml:space="preserve">is </w:t>
      </w:r>
      <w:r w:rsidR="00FC5A16">
        <w:t xml:space="preserve">policy </w:t>
      </w:r>
      <w:r w:rsidR="00A73A9E">
        <w:t xml:space="preserve">sets out the criteria, approved by the Minister for Education as required by section 165(2) of </w:t>
      </w:r>
      <w:r w:rsidR="00984A98">
        <w:t>the Act</w:t>
      </w:r>
      <w:r w:rsidR="00A73A9E" w:rsidRPr="00A62E71">
        <w:t>,</w:t>
      </w:r>
      <w:r w:rsidR="00A73A9E">
        <w:rPr>
          <w:i/>
        </w:rPr>
        <w:t xml:space="preserve"> </w:t>
      </w:r>
      <w:r w:rsidR="00A73A9E">
        <w:t xml:space="preserve">to </w:t>
      </w:r>
      <w:r w:rsidR="00767519">
        <w:t>decide wheth</w:t>
      </w:r>
      <w:r>
        <w:t xml:space="preserve">er a </w:t>
      </w:r>
      <w:r w:rsidR="000A41E7">
        <w:t xml:space="preserve">child or young person </w:t>
      </w:r>
      <w:r>
        <w:t xml:space="preserve">is a </w:t>
      </w:r>
      <w:r w:rsidR="002B179D">
        <w:t>“</w:t>
      </w:r>
      <w:r>
        <w:t xml:space="preserve">person with a </w:t>
      </w:r>
      <w:r w:rsidR="00767519">
        <w:t>disability</w:t>
      </w:r>
      <w:r w:rsidR="002B179D">
        <w:t>”</w:t>
      </w:r>
      <w:r w:rsidR="00A73A9E">
        <w:t xml:space="preserve"> for the purpose of enrolment in state </w:t>
      </w:r>
      <w:r w:rsidR="002B179D">
        <w:t xml:space="preserve">special schools including </w:t>
      </w:r>
      <w:r w:rsidR="00DC2101">
        <w:t>i</w:t>
      </w:r>
      <w:r w:rsidR="004C7892">
        <w:t xml:space="preserve">ndependent </w:t>
      </w:r>
      <w:r w:rsidR="00DC2101">
        <w:t>p</w:t>
      </w:r>
      <w:r w:rsidR="004C7892">
        <w:t xml:space="preserve">ublic </w:t>
      </w:r>
      <w:r w:rsidR="00A73A9E">
        <w:t>special schools.</w:t>
      </w:r>
    </w:p>
    <w:p w14:paraId="27F2CBAA" w14:textId="07930BAB" w:rsidR="00524282" w:rsidRPr="00524282" w:rsidRDefault="00524282" w:rsidP="00524282">
      <w:r>
        <w:t xml:space="preserve">For information regarding enrolment processes in a </w:t>
      </w:r>
      <w:r w:rsidR="008315FB">
        <w:t xml:space="preserve">state </w:t>
      </w:r>
      <w:r>
        <w:t xml:space="preserve">special school, please refer to the </w:t>
      </w:r>
      <w:hyperlink r:id="rId11" w:history="1">
        <w:r w:rsidR="00E20A42" w:rsidRPr="003F6355">
          <w:rPr>
            <w:rStyle w:val="Hyperlink"/>
          </w:rPr>
          <w:t xml:space="preserve">State special school enrolment (additional requirements) </w:t>
        </w:r>
        <w:r w:rsidR="00693C0A" w:rsidRPr="003F6355">
          <w:rPr>
            <w:rStyle w:val="Hyperlink"/>
          </w:rPr>
          <w:t>procedure</w:t>
        </w:r>
      </w:hyperlink>
      <w:r w:rsidR="00693C0A">
        <w:t>.</w:t>
      </w:r>
    </w:p>
    <w:p w14:paraId="4FA86436" w14:textId="77777777" w:rsidR="00B453CB" w:rsidRDefault="00B453CB" w:rsidP="00B453CB">
      <w:pPr>
        <w:pStyle w:val="Heading2"/>
      </w:pPr>
      <w:r>
        <w:t>Policy statement</w:t>
      </w:r>
    </w:p>
    <w:p w14:paraId="0A195BA3" w14:textId="46CCB87E" w:rsidR="009F59A4" w:rsidRDefault="006D2D57" w:rsidP="00B453CB">
      <w:r>
        <w:t xml:space="preserve">The </w:t>
      </w:r>
      <w:r w:rsidR="004C7892">
        <w:t xml:space="preserve">Department of Education (department) </w:t>
      </w:r>
      <w:r>
        <w:t xml:space="preserve">is committed to </w:t>
      </w:r>
      <w:r w:rsidR="009F59A4">
        <w:t xml:space="preserve">providing </w:t>
      </w:r>
      <w:r w:rsidR="00F44DCF">
        <w:t xml:space="preserve">children </w:t>
      </w:r>
      <w:r w:rsidR="0061711E">
        <w:t xml:space="preserve">and </w:t>
      </w:r>
      <w:r w:rsidR="00F44DCF">
        <w:t xml:space="preserve">young </w:t>
      </w:r>
      <w:r w:rsidR="00FA6BFF">
        <w:t>people</w:t>
      </w:r>
      <w:r w:rsidR="00F44DCF">
        <w:t xml:space="preserve"> in Queensland </w:t>
      </w:r>
      <w:r w:rsidR="009F59A4">
        <w:t xml:space="preserve">a </w:t>
      </w:r>
      <w:proofErr w:type="gramStart"/>
      <w:r>
        <w:t>high quality</w:t>
      </w:r>
      <w:proofErr w:type="gramEnd"/>
      <w:r>
        <w:t xml:space="preserve"> education</w:t>
      </w:r>
      <w:r w:rsidR="00F44DCF">
        <w:t>.</w:t>
      </w:r>
    </w:p>
    <w:p w14:paraId="51162BFD" w14:textId="31C3BF11" w:rsidR="00A73A9E" w:rsidRDefault="00F44DCF" w:rsidP="00767519">
      <w:r>
        <w:t xml:space="preserve">Children </w:t>
      </w:r>
      <w:r w:rsidR="0061711E">
        <w:t xml:space="preserve">and </w:t>
      </w:r>
      <w:r>
        <w:t xml:space="preserve">young </w:t>
      </w:r>
      <w:r w:rsidR="00FA6BFF">
        <w:t>people</w:t>
      </w:r>
      <w:r w:rsidR="00767519">
        <w:t xml:space="preserve"> with disability, including intellectual disability</w:t>
      </w:r>
      <w:r>
        <w:t>,</w:t>
      </w:r>
      <w:r w:rsidR="00767519">
        <w:t xml:space="preserve"> have the right to enrol in any state school in Queensland and be provided with reasonable adjustments to enable them to </w:t>
      </w:r>
      <w:r w:rsidR="00A73A9E">
        <w:t xml:space="preserve">access and </w:t>
      </w:r>
      <w:r w:rsidR="00767519">
        <w:t xml:space="preserve">participate in education </w:t>
      </w:r>
      <w:r w:rsidR="0061711E">
        <w:t xml:space="preserve">on </w:t>
      </w:r>
      <w:r w:rsidR="00767519">
        <w:t xml:space="preserve">the same basis as other </w:t>
      </w:r>
      <w:r>
        <w:t xml:space="preserve">children </w:t>
      </w:r>
      <w:r w:rsidR="0061711E">
        <w:t xml:space="preserve">and </w:t>
      </w:r>
      <w:r>
        <w:t xml:space="preserve">young </w:t>
      </w:r>
      <w:r w:rsidR="00FA6BFF">
        <w:t>people</w:t>
      </w:r>
      <w:r w:rsidR="00767519">
        <w:t>.</w:t>
      </w:r>
    </w:p>
    <w:p w14:paraId="08A8E661" w14:textId="3D85AC8B" w:rsidR="00767519" w:rsidRDefault="00767519" w:rsidP="00B453CB">
      <w:r>
        <w:t xml:space="preserve">Special schools provide highly individualised programs delivered by a multidisciplinary team of classroom teachers and support staff. Special schools support </w:t>
      </w:r>
      <w:r w:rsidR="00F44DCF">
        <w:t xml:space="preserve">children </w:t>
      </w:r>
      <w:r w:rsidR="0061711E">
        <w:t xml:space="preserve">and </w:t>
      </w:r>
      <w:r w:rsidR="00F44DCF">
        <w:t xml:space="preserve">young </w:t>
      </w:r>
      <w:r w:rsidR="00FA6BFF">
        <w:t>people</w:t>
      </w:r>
      <w:r>
        <w:t xml:space="preserve"> with intellectual disability, and who may have other disabilit</w:t>
      </w:r>
      <w:r w:rsidR="00FA6BFF">
        <w:t>ies,</w:t>
      </w:r>
      <w:r>
        <w:t xml:space="preserve"> which have a severe impact on their ability to access and participate in education.</w:t>
      </w:r>
    </w:p>
    <w:p w14:paraId="28412266" w14:textId="67A3BFE1" w:rsidR="00A73A9E" w:rsidRDefault="00767519" w:rsidP="00B453CB">
      <w:r>
        <w:lastRenderedPageBreak/>
        <w:t>Parent</w:t>
      </w:r>
      <w:r w:rsidR="00DE04D2">
        <w:t>s</w:t>
      </w:r>
      <w:r>
        <w:t xml:space="preserve"> may choose</w:t>
      </w:r>
      <w:r w:rsidR="00A73A9E">
        <w:t xml:space="preserve"> to apply for their child to be enrolled in a state special school. To be referred for enrolment in a state special school, all four criteria set out in this Policy</w:t>
      </w:r>
      <w:r w:rsidR="0061711E">
        <w:t xml:space="preserve"> must be met</w:t>
      </w:r>
      <w:r w:rsidR="00A73A9E">
        <w:t>.</w:t>
      </w:r>
    </w:p>
    <w:p w14:paraId="16A0DF2B" w14:textId="77777777" w:rsidR="00B453CB" w:rsidRDefault="00B453CB" w:rsidP="00E42861">
      <w:pPr>
        <w:pStyle w:val="Heading2"/>
      </w:pPr>
      <w:r>
        <w:t>Principles</w:t>
      </w:r>
    </w:p>
    <w:p w14:paraId="6A1CCC71" w14:textId="4E503DC8" w:rsidR="001213B4" w:rsidRDefault="001213B4" w:rsidP="00FB1941">
      <w:r>
        <w:t>Decisions to determine whether a child or young person meets the criteria outlined in this policy will be made having regard to the following principles:</w:t>
      </w:r>
    </w:p>
    <w:p w14:paraId="31C5C0A5" w14:textId="391B646C" w:rsidR="00784816" w:rsidRDefault="00784816" w:rsidP="00FB1941">
      <w:pPr>
        <w:pStyle w:val="ListParagraph"/>
        <w:numPr>
          <w:ilvl w:val="0"/>
          <w:numId w:val="13"/>
        </w:numPr>
      </w:pPr>
      <w:r>
        <w:t xml:space="preserve">Evidence-based – decisions will be based on </w:t>
      </w:r>
      <w:r w:rsidR="00A73A9E">
        <w:t xml:space="preserve">available evidence demonstrating that all four of the Policy’s criteria are met. </w:t>
      </w:r>
    </w:p>
    <w:p w14:paraId="0A7C422D" w14:textId="52B29C22" w:rsidR="000A2A1C" w:rsidRDefault="00784816" w:rsidP="00FB1941">
      <w:pPr>
        <w:pStyle w:val="ListParagraph"/>
        <w:numPr>
          <w:ilvl w:val="0"/>
          <w:numId w:val="13"/>
        </w:numPr>
      </w:pPr>
      <w:r>
        <w:t>Transparen</w:t>
      </w:r>
      <w:r w:rsidR="000A2A1C">
        <w:t xml:space="preserve">cy – decisions will be made on the basis of the criteria set out in </w:t>
      </w:r>
      <w:r w:rsidR="003E27B4">
        <w:t xml:space="preserve">this </w:t>
      </w:r>
      <w:r w:rsidR="000A2A1C">
        <w:t xml:space="preserve">Policy and </w:t>
      </w:r>
      <w:r w:rsidR="003E27B4">
        <w:t xml:space="preserve">clearly </w:t>
      </w:r>
      <w:r w:rsidR="000A2A1C">
        <w:t>explained to parents</w:t>
      </w:r>
      <w:r w:rsidR="003E27B4">
        <w:t xml:space="preserve"> and principals involved in the application.</w:t>
      </w:r>
      <w:r w:rsidR="00A73A9E">
        <w:t xml:space="preserve"> Parents will be provided an opportunity to review the evidence used to make the decision and provide additional information if required.</w:t>
      </w:r>
    </w:p>
    <w:p w14:paraId="5C036FB8" w14:textId="10F4F241" w:rsidR="00784816" w:rsidRDefault="000A2A1C" w:rsidP="00FB1941">
      <w:pPr>
        <w:pStyle w:val="ListParagraph"/>
        <w:numPr>
          <w:ilvl w:val="0"/>
          <w:numId w:val="13"/>
        </w:numPr>
      </w:pPr>
      <w:r>
        <w:t>Timel</w:t>
      </w:r>
      <w:r w:rsidR="00AA7020">
        <w:t>iness</w:t>
      </w:r>
      <w:r>
        <w:t xml:space="preserve"> – decisions will be made in a timely manner</w:t>
      </w:r>
      <w:r w:rsidR="00A73A9E">
        <w:t xml:space="preserve"> to ensure, as far as possible, that children and young people can start school as soon as possible, or continue their educational programs</w:t>
      </w:r>
      <w:r>
        <w:t>.</w:t>
      </w:r>
      <w:r w:rsidR="00784816">
        <w:t xml:space="preserve"> </w:t>
      </w:r>
    </w:p>
    <w:p w14:paraId="3CE47944" w14:textId="24B74C01" w:rsidR="00AF15BA" w:rsidRDefault="00DC2101" w:rsidP="00AF15BA">
      <w:pPr>
        <w:pStyle w:val="Heading2"/>
      </w:pPr>
      <w:r>
        <w:t>“Person with a d</w:t>
      </w:r>
      <w:r w:rsidR="00241128">
        <w:t>isability</w:t>
      </w:r>
      <w:r>
        <w:t>”</w:t>
      </w:r>
      <w:r w:rsidR="00241128">
        <w:t xml:space="preserve"> c</w:t>
      </w:r>
      <w:r w:rsidR="00AF15BA" w:rsidRPr="00B453CB">
        <w:t xml:space="preserve">riteria for enrolment in </w:t>
      </w:r>
      <w:r>
        <w:t xml:space="preserve">state </w:t>
      </w:r>
      <w:r w:rsidR="00AF15BA" w:rsidRPr="00B453CB">
        <w:t>special schools</w:t>
      </w:r>
    </w:p>
    <w:p w14:paraId="5B38851B" w14:textId="500D99F8" w:rsidR="0061711E" w:rsidRPr="0061711E" w:rsidRDefault="0061711E" w:rsidP="00A62E71">
      <w:r>
        <w:t xml:space="preserve">To be eligible for enrolment in a state </w:t>
      </w:r>
      <w:r w:rsidR="002B179D">
        <w:t xml:space="preserve">special school including an </w:t>
      </w:r>
      <w:r>
        <w:t>independent public special school, all four of the following criteria must be met:</w:t>
      </w:r>
    </w:p>
    <w:p w14:paraId="20E5527B" w14:textId="77777777" w:rsidR="00005DE2" w:rsidRPr="00005DE2" w:rsidRDefault="00005DE2" w:rsidP="008512B7">
      <w:pPr>
        <w:numPr>
          <w:ilvl w:val="0"/>
          <w:numId w:val="12"/>
        </w:numPr>
      </w:pPr>
      <w:r w:rsidRPr="00005DE2">
        <w:t xml:space="preserve">The person has a disability as defined by the </w:t>
      </w:r>
      <w:r w:rsidRPr="00005DE2">
        <w:rPr>
          <w:i/>
          <w:iCs/>
        </w:rPr>
        <w:t>Disability Discrimination Act</w:t>
      </w:r>
      <w:r w:rsidRPr="00005DE2">
        <w:t xml:space="preserve"> 1992 (DDA); </w:t>
      </w:r>
    </w:p>
    <w:p w14:paraId="189A07E3" w14:textId="77777777" w:rsidR="00005DE2" w:rsidRPr="00005DE2" w:rsidRDefault="00005DE2" w:rsidP="008512B7">
      <w:pPr>
        <w:numPr>
          <w:ilvl w:val="0"/>
          <w:numId w:val="12"/>
        </w:numPr>
      </w:pPr>
      <w:r w:rsidRPr="00005DE2">
        <w:t xml:space="preserve">The person has a </w:t>
      </w:r>
      <w:r w:rsidRPr="00005DE2">
        <w:rPr>
          <w:i/>
          <w:iCs/>
        </w:rPr>
        <w:t>severe disability</w:t>
      </w:r>
      <w:r w:rsidRPr="00005DE2">
        <w:t xml:space="preserve"> which includes an </w:t>
      </w:r>
      <w:r w:rsidRPr="00005DE2">
        <w:rPr>
          <w:i/>
          <w:iCs/>
        </w:rPr>
        <w:t>intellectual disability</w:t>
      </w:r>
      <w:r w:rsidRPr="00005DE2">
        <w:rPr>
          <w:iCs/>
        </w:rPr>
        <w:t>;</w:t>
      </w:r>
      <w:r w:rsidRPr="00005DE2">
        <w:t xml:space="preserve"> </w:t>
      </w:r>
    </w:p>
    <w:p w14:paraId="682D42B7" w14:textId="77777777" w:rsidR="00005DE2" w:rsidRPr="00005DE2" w:rsidRDefault="00005DE2" w:rsidP="008512B7">
      <w:pPr>
        <w:numPr>
          <w:ilvl w:val="0"/>
          <w:numId w:val="12"/>
        </w:numPr>
      </w:pPr>
      <w:r w:rsidRPr="00005DE2">
        <w:t xml:space="preserve">The person is unlikely to attain the levels of development of which the person is capable unless the person receives special education; </w:t>
      </w:r>
    </w:p>
    <w:p w14:paraId="2B65499D" w14:textId="5272994F" w:rsidR="00005DE2" w:rsidRDefault="00005DE2" w:rsidP="008512B7">
      <w:pPr>
        <w:numPr>
          <w:ilvl w:val="0"/>
          <w:numId w:val="12"/>
        </w:numPr>
      </w:pPr>
      <w:r w:rsidRPr="00005DE2">
        <w:t xml:space="preserve">The person's educational program is best delivered in a special school </w:t>
      </w:r>
      <w:proofErr w:type="gramStart"/>
      <w:r w:rsidRPr="00005DE2">
        <w:t>taking into account</w:t>
      </w:r>
      <w:proofErr w:type="gramEnd"/>
      <w:r w:rsidRPr="00005DE2">
        <w:t xml:space="preserve"> the appropriateness of this placement for the individual concerned.</w:t>
      </w:r>
    </w:p>
    <w:p w14:paraId="18DC10CE" w14:textId="288E4456" w:rsidR="000C0DFC" w:rsidRDefault="000C0DFC" w:rsidP="00FE2ED1">
      <w:pPr>
        <w:pStyle w:val="Heading2"/>
      </w:pPr>
      <w:r>
        <w:t>Decision-making</w:t>
      </w:r>
    </w:p>
    <w:p w14:paraId="3F5D417B" w14:textId="2108452B" w:rsidR="001454C4" w:rsidRPr="00C42D9C" w:rsidRDefault="00061640" w:rsidP="00061640">
      <w:pPr>
        <w:numPr>
          <w:ilvl w:val="0"/>
          <w:numId w:val="5"/>
        </w:numPr>
      </w:pPr>
      <w:r w:rsidRPr="00061640">
        <w:t>Departmental officers with delegations under</w:t>
      </w:r>
      <w:r w:rsidR="00C412C9">
        <w:t xml:space="preserve"> the</w:t>
      </w:r>
      <w:r w:rsidRPr="00061640">
        <w:t xml:space="preserve"> </w:t>
      </w:r>
      <w:hyperlink r:id="rId12" w:history="1">
        <w:r w:rsidRPr="00061640">
          <w:rPr>
            <w:rStyle w:val="Hyperlink"/>
          </w:rPr>
          <w:t>Legislative Delegations – Delegation of Director-General’s Powers</w:t>
        </w:r>
      </w:hyperlink>
      <w:r w:rsidRPr="00061640">
        <w:t xml:space="preserve"> will make a decision about whether the eligibility criteria are met and the child or young person is eligible to be enrolled in a special schoo</w:t>
      </w:r>
      <w:r>
        <w:t>l.</w:t>
      </w:r>
      <w:r w:rsidR="001454C4">
        <w:rPr>
          <w:rStyle w:val="Hyperlink"/>
        </w:rPr>
        <w:t xml:space="preserve"> </w:t>
      </w:r>
    </w:p>
    <w:p w14:paraId="163C78F8" w14:textId="3AED9EE2" w:rsidR="000C0DFC" w:rsidRDefault="000C0DFC" w:rsidP="00A62E71"/>
    <w:p w14:paraId="3DF46658" w14:textId="3663327D" w:rsidR="00B453CB" w:rsidRDefault="00B453CB" w:rsidP="00E42861">
      <w:pPr>
        <w:pStyle w:val="Heading2"/>
      </w:pPr>
      <w:r>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6815"/>
      </w:tblGrid>
      <w:tr w:rsidR="004633A2" w:rsidRPr="00772B7C" w14:paraId="375FBAC3" w14:textId="77777777" w:rsidTr="00344C06">
        <w:tc>
          <w:tcPr>
            <w:tcW w:w="2195" w:type="dxa"/>
            <w:shd w:val="clear" w:color="auto" w:fill="auto"/>
          </w:tcPr>
          <w:p w14:paraId="7CB40688" w14:textId="586CAB53" w:rsidR="004633A2" w:rsidRPr="00772B7C" w:rsidRDefault="004633A2" w:rsidP="00772B7C">
            <w:pPr>
              <w:pStyle w:val="BlockText"/>
              <w:spacing w:after="120" w:line="240" w:lineRule="exact"/>
              <w:ind w:right="0"/>
              <w:rPr>
                <w:rFonts w:cs="Arial"/>
                <w:sz w:val="22"/>
                <w:szCs w:val="22"/>
              </w:rPr>
            </w:pPr>
            <w:r w:rsidRPr="00772B7C">
              <w:rPr>
                <w:rFonts w:cs="Arial"/>
                <w:sz w:val="22"/>
                <w:szCs w:val="22"/>
              </w:rPr>
              <w:t>Parent</w:t>
            </w:r>
          </w:p>
        </w:tc>
        <w:tc>
          <w:tcPr>
            <w:tcW w:w="6815" w:type="dxa"/>
            <w:shd w:val="clear" w:color="auto" w:fill="auto"/>
            <w:vAlign w:val="center"/>
          </w:tcPr>
          <w:p w14:paraId="216B95D4" w14:textId="5BC694F9" w:rsidR="004633A2" w:rsidRPr="00772B7C" w:rsidRDefault="0061711E" w:rsidP="00772B7C">
            <w:pPr>
              <w:pStyle w:val="BlockText"/>
              <w:spacing w:after="120" w:line="240" w:lineRule="exact"/>
              <w:ind w:right="0"/>
              <w:rPr>
                <w:rFonts w:cs="Arial"/>
                <w:sz w:val="22"/>
                <w:szCs w:val="22"/>
              </w:rPr>
            </w:pPr>
            <w:r w:rsidRPr="00772B7C">
              <w:rPr>
                <w:rFonts w:cs="Arial"/>
                <w:sz w:val="22"/>
                <w:szCs w:val="22"/>
              </w:rPr>
              <w:t xml:space="preserve">The Policy adopts the definition of ‘parent’ as set out in section 10 of the </w:t>
            </w:r>
            <w:r w:rsidR="00C22A13">
              <w:rPr>
                <w:rFonts w:cs="Arial"/>
                <w:sz w:val="22"/>
                <w:szCs w:val="22"/>
              </w:rPr>
              <w:t>Act</w:t>
            </w:r>
            <w:r w:rsidRPr="00772B7C">
              <w:rPr>
                <w:rFonts w:cs="Arial"/>
                <w:sz w:val="22"/>
                <w:szCs w:val="22"/>
              </w:rPr>
              <w:t xml:space="preserve">. </w:t>
            </w:r>
          </w:p>
        </w:tc>
      </w:tr>
      <w:tr w:rsidR="00062902" w:rsidRPr="00772B7C" w14:paraId="09E2D786" w14:textId="77777777" w:rsidTr="00344C06">
        <w:tc>
          <w:tcPr>
            <w:tcW w:w="2195" w:type="dxa"/>
            <w:shd w:val="clear" w:color="auto" w:fill="auto"/>
          </w:tcPr>
          <w:p w14:paraId="64072166" w14:textId="77777777" w:rsidR="00062902" w:rsidRPr="00772B7C" w:rsidRDefault="00062902" w:rsidP="00772B7C">
            <w:pPr>
              <w:pStyle w:val="BlockText"/>
              <w:spacing w:after="120" w:line="240" w:lineRule="exact"/>
              <w:ind w:right="0"/>
              <w:rPr>
                <w:rFonts w:cs="Arial"/>
                <w:sz w:val="22"/>
                <w:szCs w:val="22"/>
              </w:rPr>
            </w:pPr>
            <w:r w:rsidRPr="00772B7C">
              <w:rPr>
                <w:rFonts w:cs="Arial"/>
                <w:sz w:val="22"/>
                <w:szCs w:val="22"/>
              </w:rPr>
              <w:t>Disability</w:t>
            </w:r>
          </w:p>
        </w:tc>
        <w:tc>
          <w:tcPr>
            <w:tcW w:w="6815" w:type="dxa"/>
            <w:shd w:val="clear" w:color="auto" w:fill="auto"/>
            <w:vAlign w:val="center"/>
          </w:tcPr>
          <w:p w14:paraId="00992152" w14:textId="158F4521" w:rsidR="00062902" w:rsidRPr="00772B7C" w:rsidRDefault="00062902" w:rsidP="00772B7C">
            <w:pPr>
              <w:pStyle w:val="BlockText"/>
              <w:spacing w:after="120" w:line="240" w:lineRule="exact"/>
              <w:ind w:right="0"/>
              <w:rPr>
                <w:rFonts w:cs="Arial"/>
                <w:sz w:val="22"/>
                <w:szCs w:val="22"/>
              </w:rPr>
            </w:pPr>
            <w:r w:rsidRPr="00772B7C">
              <w:rPr>
                <w:rFonts w:cs="Arial"/>
                <w:sz w:val="22"/>
                <w:szCs w:val="22"/>
              </w:rPr>
              <w:t>S</w:t>
            </w:r>
            <w:r w:rsidR="004C7892" w:rsidRPr="00772B7C">
              <w:rPr>
                <w:rFonts w:cs="Arial"/>
                <w:sz w:val="22"/>
                <w:szCs w:val="22"/>
              </w:rPr>
              <w:t xml:space="preserve">ection </w:t>
            </w:r>
            <w:r w:rsidRPr="00772B7C">
              <w:rPr>
                <w:rFonts w:cs="Arial"/>
                <w:sz w:val="22"/>
                <w:szCs w:val="22"/>
              </w:rPr>
              <w:t>4 of the DDA defines disability as:</w:t>
            </w:r>
          </w:p>
          <w:p w14:paraId="0DA00369" w14:textId="77777777" w:rsidR="00062902" w:rsidRPr="00772B7C" w:rsidRDefault="00062902" w:rsidP="00772B7C">
            <w:pPr>
              <w:pStyle w:val="BlockText"/>
              <w:spacing w:after="120" w:line="240" w:lineRule="exact"/>
              <w:rPr>
                <w:rFonts w:cs="Arial"/>
                <w:sz w:val="22"/>
                <w:szCs w:val="22"/>
              </w:rPr>
            </w:pPr>
            <w:r w:rsidRPr="00772B7C">
              <w:rPr>
                <w:rFonts w:cs="Arial"/>
                <w:sz w:val="22"/>
                <w:szCs w:val="22"/>
              </w:rPr>
              <w:t xml:space="preserve">(a) total or partial loss of the person’s bodily or mental functions; or </w:t>
            </w:r>
          </w:p>
          <w:p w14:paraId="4EAF8499" w14:textId="77777777" w:rsidR="00062902" w:rsidRPr="00772B7C" w:rsidRDefault="00062902" w:rsidP="00772B7C">
            <w:pPr>
              <w:pStyle w:val="BlockText"/>
              <w:spacing w:after="120" w:line="240" w:lineRule="exact"/>
              <w:rPr>
                <w:rFonts w:cs="Arial"/>
                <w:sz w:val="22"/>
                <w:szCs w:val="22"/>
              </w:rPr>
            </w:pPr>
            <w:r w:rsidRPr="00772B7C">
              <w:rPr>
                <w:rFonts w:cs="Arial"/>
                <w:sz w:val="22"/>
                <w:szCs w:val="22"/>
              </w:rPr>
              <w:t xml:space="preserve">(b) total or partial loss of a part of the body; or </w:t>
            </w:r>
          </w:p>
          <w:p w14:paraId="3E7EC26D" w14:textId="77777777" w:rsidR="00062902" w:rsidRPr="00772B7C" w:rsidRDefault="00062902" w:rsidP="00772B7C">
            <w:pPr>
              <w:pStyle w:val="BlockText"/>
              <w:spacing w:after="120" w:line="240" w:lineRule="exact"/>
              <w:rPr>
                <w:rFonts w:cs="Arial"/>
                <w:sz w:val="22"/>
                <w:szCs w:val="22"/>
              </w:rPr>
            </w:pPr>
            <w:r w:rsidRPr="00772B7C">
              <w:rPr>
                <w:rFonts w:cs="Arial"/>
                <w:sz w:val="22"/>
                <w:szCs w:val="22"/>
              </w:rPr>
              <w:t xml:space="preserve">(c) the presence in the body of organisms causing disease or illness; or </w:t>
            </w:r>
          </w:p>
          <w:p w14:paraId="1FF5B3DB" w14:textId="77777777" w:rsidR="00062902" w:rsidRPr="00772B7C" w:rsidRDefault="00062902" w:rsidP="00772B7C">
            <w:pPr>
              <w:pStyle w:val="BlockText"/>
              <w:spacing w:after="120" w:line="240" w:lineRule="exact"/>
              <w:rPr>
                <w:rFonts w:cs="Arial"/>
                <w:sz w:val="22"/>
                <w:szCs w:val="22"/>
              </w:rPr>
            </w:pPr>
            <w:r w:rsidRPr="00772B7C">
              <w:rPr>
                <w:rFonts w:cs="Arial"/>
                <w:sz w:val="22"/>
                <w:szCs w:val="22"/>
              </w:rPr>
              <w:t xml:space="preserve">(d) the presence in the body of organisms capable of causing disease or illness; or </w:t>
            </w:r>
          </w:p>
          <w:p w14:paraId="30018D62" w14:textId="77777777" w:rsidR="00062902" w:rsidRPr="00772B7C" w:rsidRDefault="00062902" w:rsidP="00772B7C">
            <w:pPr>
              <w:pStyle w:val="BlockText"/>
              <w:spacing w:after="120" w:line="240" w:lineRule="exact"/>
              <w:rPr>
                <w:rFonts w:cs="Arial"/>
                <w:sz w:val="22"/>
                <w:szCs w:val="22"/>
              </w:rPr>
            </w:pPr>
            <w:r w:rsidRPr="00772B7C">
              <w:rPr>
                <w:rFonts w:cs="Arial"/>
                <w:sz w:val="22"/>
                <w:szCs w:val="22"/>
              </w:rPr>
              <w:t xml:space="preserve">(e) the malfunction, malformation or disfigurement of a part of the person’s body; or </w:t>
            </w:r>
          </w:p>
          <w:p w14:paraId="4699C49D" w14:textId="77777777" w:rsidR="00062902" w:rsidRPr="00772B7C" w:rsidRDefault="00062902" w:rsidP="00772B7C">
            <w:pPr>
              <w:pStyle w:val="BlockText"/>
              <w:spacing w:after="120" w:line="240" w:lineRule="exact"/>
              <w:rPr>
                <w:rFonts w:cs="Arial"/>
                <w:sz w:val="22"/>
                <w:szCs w:val="22"/>
              </w:rPr>
            </w:pPr>
            <w:r w:rsidRPr="00772B7C">
              <w:rPr>
                <w:rFonts w:cs="Arial"/>
                <w:sz w:val="22"/>
                <w:szCs w:val="22"/>
              </w:rPr>
              <w:t xml:space="preserve">(f) a disorder or malfunction that results in the person learning differently from a person without the disorder or malfunction; or </w:t>
            </w:r>
          </w:p>
          <w:p w14:paraId="141896FA" w14:textId="77777777" w:rsidR="00062902" w:rsidRPr="00772B7C" w:rsidRDefault="00062902" w:rsidP="00772B7C">
            <w:pPr>
              <w:pStyle w:val="BlockText"/>
              <w:spacing w:after="120" w:line="240" w:lineRule="exact"/>
              <w:rPr>
                <w:rFonts w:cs="Arial"/>
                <w:sz w:val="22"/>
                <w:szCs w:val="22"/>
              </w:rPr>
            </w:pPr>
            <w:r w:rsidRPr="00772B7C">
              <w:rPr>
                <w:rFonts w:cs="Arial"/>
                <w:sz w:val="22"/>
                <w:szCs w:val="22"/>
              </w:rPr>
              <w:t xml:space="preserve">(g) a disorder, illness or disease that affects a person’s thought processes, perception of reality, emotions or judgment or that results in disturbed behaviour; </w:t>
            </w:r>
          </w:p>
          <w:p w14:paraId="0E64A36E" w14:textId="77777777" w:rsidR="00062902" w:rsidRPr="00772B7C" w:rsidRDefault="00062902" w:rsidP="00772B7C">
            <w:pPr>
              <w:pStyle w:val="BlockText"/>
              <w:spacing w:after="120" w:line="240" w:lineRule="exact"/>
              <w:rPr>
                <w:rFonts w:cs="Arial"/>
                <w:sz w:val="22"/>
                <w:szCs w:val="22"/>
              </w:rPr>
            </w:pPr>
            <w:r w:rsidRPr="00772B7C">
              <w:rPr>
                <w:rFonts w:cs="Arial"/>
                <w:sz w:val="22"/>
                <w:szCs w:val="22"/>
              </w:rPr>
              <w:t xml:space="preserve">and includes a disability that: </w:t>
            </w:r>
          </w:p>
          <w:p w14:paraId="45DE65B0" w14:textId="77777777" w:rsidR="00062902" w:rsidRPr="00772B7C" w:rsidRDefault="00062902" w:rsidP="00772B7C">
            <w:pPr>
              <w:pStyle w:val="BlockText"/>
              <w:spacing w:after="120" w:line="240" w:lineRule="exact"/>
              <w:rPr>
                <w:rFonts w:cs="Arial"/>
                <w:sz w:val="22"/>
                <w:szCs w:val="22"/>
              </w:rPr>
            </w:pPr>
            <w:r w:rsidRPr="00772B7C">
              <w:rPr>
                <w:rFonts w:cs="Arial"/>
                <w:sz w:val="22"/>
                <w:szCs w:val="22"/>
              </w:rPr>
              <w:t xml:space="preserve">(h) presently exists; or </w:t>
            </w:r>
          </w:p>
          <w:p w14:paraId="7FEFE9A6" w14:textId="77777777" w:rsidR="00062902" w:rsidRPr="00772B7C" w:rsidRDefault="00062902" w:rsidP="00772B7C">
            <w:pPr>
              <w:pStyle w:val="BlockText"/>
              <w:spacing w:after="120" w:line="240" w:lineRule="exact"/>
              <w:rPr>
                <w:rFonts w:cs="Arial"/>
                <w:sz w:val="22"/>
                <w:szCs w:val="22"/>
              </w:rPr>
            </w:pPr>
            <w:r w:rsidRPr="00772B7C">
              <w:rPr>
                <w:rFonts w:cs="Arial"/>
                <w:sz w:val="22"/>
                <w:szCs w:val="22"/>
              </w:rPr>
              <w:t>(</w:t>
            </w:r>
            <w:proofErr w:type="spellStart"/>
            <w:r w:rsidRPr="00772B7C">
              <w:rPr>
                <w:rFonts w:cs="Arial"/>
                <w:sz w:val="22"/>
                <w:szCs w:val="22"/>
              </w:rPr>
              <w:t>i</w:t>
            </w:r>
            <w:proofErr w:type="spellEnd"/>
            <w:r w:rsidRPr="00772B7C">
              <w:rPr>
                <w:rFonts w:cs="Arial"/>
                <w:sz w:val="22"/>
                <w:szCs w:val="22"/>
              </w:rPr>
              <w:t xml:space="preserve">) previously existed but no longer exists; or </w:t>
            </w:r>
          </w:p>
          <w:p w14:paraId="31E387E8" w14:textId="77777777" w:rsidR="00062902" w:rsidRPr="00772B7C" w:rsidRDefault="00062902" w:rsidP="00772B7C">
            <w:pPr>
              <w:pStyle w:val="BlockText"/>
              <w:spacing w:after="120" w:line="240" w:lineRule="exact"/>
              <w:rPr>
                <w:rFonts w:cs="Arial"/>
                <w:sz w:val="22"/>
                <w:szCs w:val="22"/>
              </w:rPr>
            </w:pPr>
            <w:r w:rsidRPr="00772B7C">
              <w:rPr>
                <w:rFonts w:cs="Arial"/>
                <w:sz w:val="22"/>
                <w:szCs w:val="22"/>
              </w:rPr>
              <w:t xml:space="preserve">(j) may exist in the future (including because of a genetic predisposition to that disability); or </w:t>
            </w:r>
          </w:p>
          <w:p w14:paraId="00E199D7" w14:textId="77777777" w:rsidR="00062902" w:rsidRPr="00772B7C" w:rsidRDefault="00062902" w:rsidP="00772B7C">
            <w:pPr>
              <w:pStyle w:val="BlockText"/>
              <w:spacing w:after="120" w:line="240" w:lineRule="exact"/>
              <w:rPr>
                <w:rFonts w:cs="Arial"/>
                <w:sz w:val="22"/>
                <w:szCs w:val="22"/>
              </w:rPr>
            </w:pPr>
            <w:r w:rsidRPr="00772B7C">
              <w:rPr>
                <w:rFonts w:cs="Arial"/>
                <w:sz w:val="22"/>
                <w:szCs w:val="22"/>
              </w:rPr>
              <w:t xml:space="preserve">(k) is imputed to a person. </w:t>
            </w:r>
          </w:p>
          <w:p w14:paraId="69D77650" w14:textId="77777777" w:rsidR="00062902" w:rsidRPr="00772B7C" w:rsidRDefault="00062902" w:rsidP="00772B7C">
            <w:pPr>
              <w:pStyle w:val="BlockText"/>
              <w:spacing w:after="120" w:line="240" w:lineRule="exact"/>
              <w:ind w:right="0"/>
              <w:rPr>
                <w:rFonts w:cs="Arial"/>
                <w:sz w:val="22"/>
                <w:szCs w:val="22"/>
              </w:rPr>
            </w:pPr>
            <w:r w:rsidRPr="00772B7C">
              <w:rPr>
                <w:rFonts w:cs="Arial"/>
                <w:sz w:val="22"/>
                <w:szCs w:val="22"/>
              </w:rPr>
              <w:t xml:space="preserve">To avoid doubt, a </w:t>
            </w:r>
            <w:r w:rsidRPr="00772B7C">
              <w:rPr>
                <w:rFonts w:cs="Arial"/>
                <w:b/>
                <w:bCs/>
                <w:i/>
                <w:iCs/>
                <w:sz w:val="22"/>
                <w:szCs w:val="22"/>
              </w:rPr>
              <w:t xml:space="preserve">disability </w:t>
            </w:r>
            <w:r w:rsidRPr="00772B7C">
              <w:rPr>
                <w:rFonts w:cs="Arial"/>
                <w:sz w:val="22"/>
                <w:szCs w:val="22"/>
              </w:rPr>
              <w:t>that is otherwise covered by this definition includes behaviour that is a symptom or manifestation of the disability.</w:t>
            </w:r>
          </w:p>
        </w:tc>
      </w:tr>
      <w:tr w:rsidR="000A2A1C" w:rsidRPr="00772B7C" w14:paraId="10738BDD" w14:textId="77777777" w:rsidTr="000A2A1C">
        <w:tc>
          <w:tcPr>
            <w:tcW w:w="2195" w:type="dxa"/>
            <w:shd w:val="clear" w:color="auto" w:fill="auto"/>
            <w:vAlign w:val="center"/>
          </w:tcPr>
          <w:p w14:paraId="5E72E34E" w14:textId="77777777" w:rsidR="000A2A1C" w:rsidRPr="00772B7C" w:rsidRDefault="000A2A1C" w:rsidP="00772B7C">
            <w:pPr>
              <w:pStyle w:val="BlockText"/>
              <w:spacing w:after="120" w:line="240" w:lineRule="exact"/>
              <w:ind w:right="0"/>
              <w:rPr>
                <w:rFonts w:cs="Arial"/>
                <w:sz w:val="22"/>
                <w:szCs w:val="22"/>
              </w:rPr>
            </w:pPr>
            <w:r w:rsidRPr="00772B7C">
              <w:rPr>
                <w:rFonts w:cs="Arial"/>
                <w:sz w:val="22"/>
                <w:szCs w:val="22"/>
              </w:rPr>
              <w:t>Intellectual disability</w:t>
            </w:r>
          </w:p>
          <w:p w14:paraId="788706F1" w14:textId="77777777" w:rsidR="000A2A1C" w:rsidRPr="00772B7C" w:rsidRDefault="000A2A1C" w:rsidP="00772B7C">
            <w:pPr>
              <w:pStyle w:val="BlockText"/>
              <w:spacing w:after="120" w:line="240" w:lineRule="exact"/>
              <w:ind w:right="0"/>
              <w:rPr>
                <w:rFonts w:cs="Arial"/>
                <w:sz w:val="22"/>
                <w:szCs w:val="22"/>
              </w:rPr>
            </w:pPr>
          </w:p>
        </w:tc>
        <w:tc>
          <w:tcPr>
            <w:tcW w:w="6815" w:type="dxa"/>
            <w:shd w:val="clear" w:color="auto" w:fill="auto"/>
            <w:vAlign w:val="center"/>
          </w:tcPr>
          <w:p w14:paraId="6F22430F" w14:textId="66E6F4F3" w:rsidR="000A2A1C" w:rsidRPr="00772B7C" w:rsidRDefault="000A2A1C" w:rsidP="00772B7C">
            <w:pPr>
              <w:pStyle w:val="BlockText"/>
              <w:spacing w:after="120" w:line="240" w:lineRule="exact"/>
              <w:ind w:right="0"/>
              <w:rPr>
                <w:rFonts w:cs="Arial"/>
                <w:sz w:val="22"/>
                <w:szCs w:val="22"/>
              </w:rPr>
            </w:pPr>
            <w:r w:rsidRPr="00772B7C">
              <w:rPr>
                <w:rFonts w:cs="Arial"/>
                <w:sz w:val="22"/>
                <w:szCs w:val="22"/>
              </w:rPr>
              <w:t xml:space="preserve">An </w:t>
            </w:r>
            <w:r w:rsidRPr="00772B7C">
              <w:rPr>
                <w:rFonts w:cs="Arial"/>
                <w:b/>
                <w:sz w:val="22"/>
                <w:szCs w:val="22"/>
              </w:rPr>
              <w:t>intellectual disability</w:t>
            </w:r>
            <w:r w:rsidRPr="00772B7C">
              <w:rPr>
                <w:rFonts w:cs="Arial"/>
                <w:sz w:val="22"/>
                <w:szCs w:val="22"/>
              </w:rPr>
              <w:t xml:space="preserve"> is characterised by deficits in intellectual functioning and adaptive behaviour requiring significant education adjustments. </w:t>
            </w:r>
          </w:p>
        </w:tc>
      </w:tr>
      <w:tr w:rsidR="000A2A1C" w:rsidRPr="00772B7C" w14:paraId="091FF18F" w14:textId="77777777" w:rsidTr="00FB1941">
        <w:tc>
          <w:tcPr>
            <w:tcW w:w="2195" w:type="dxa"/>
            <w:shd w:val="clear" w:color="auto" w:fill="auto"/>
          </w:tcPr>
          <w:p w14:paraId="3BC9690A" w14:textId="77777777" w:rsidR="000A2A1C" w:rsidRPr="00772B7C" w:rsidRDefault="000A2A1C" w:rsidP="00772B7C">
            <w:pPr>
              <w:pStyle w:val="BlockText"/>
              <w:spacing w:after="120" w:line="240" w:lineRule="exact"/>
              <w:ind w:right="0"/>
              <w:rPr>
                <w:rFonts w:cs="Arial"/>
                <w:sz w:val="22"/>
                <w:szCs w:val="22"/>
              </w:rPr>
            </w:pPr>
            <w:r w:rsidRPr="00772B7C">
              <w:rPr>
                <w:rFonts w:cs="Arial"/>
                <w:sz w:val="22"/>
                <w:szCs w:val="22"/>
              </w:rPr>
              <w:t>Intellectual functioning</w:t>
            </w:r>
          </w:p>
        </w:tc>
        <w:tc>
          <w:tcPr>
            <w:tcW w:w="6815" w:type="dxa"/>
            <w:shd w:val="clear" w:color="auto" w:fill="auto"/>
            <w:vAlign w:val="center"/>
          </w:tcPr>
          <w:p w14:paraId="38CF709C" w14:textId="77777777" w:rsidR="000A2A1C" w:rsidRPr="00772B7C" w:rsidRDefault="000A2A1C" w:rsidP="00772B7C">
            <w:pPr>
              <w:pStyle w:val="BlockText"/>
              <w:spacing w:after="120" w:line="240" w:lineRule="exact"/>
              <w:ind w:right="0"/>
              <w:rPr>
                <w:rFonts w:cs="Arial"/>
                <w:sz w:val="22"/>
                <w:szCs w:val="22"/>
              </w:rPr>
            </w:pPr>
            <w:r w:rsidRPr="00772B7C">
              <w:rPr>
                <w:rFonts w:cs="Arial"/>
                <w:b/>
                <w:sz w:val="22"/>
                <w:szCs w:val="22"/>
              </w:rPr>
              <w:t>Intellectual functioning</w:t>
            </w:r>
            <w:r w:rsidRPr="00772B7C">
              <w:rPr>
                <w:rFonts w:cs="Arial"/>
                <w:sz w:val="22"/>
                <w:szCs w:val="22"/>
              </w:rPr>
              <w:t xml:space="preserve"> associated with intellectual disability is characterised by deficits in reasoning, problem solving, planning, abstract thinking, judgement, academic learning and learning from life experiences. This is typically associated with an Intelligence Quotient (IQ) score of approximately 70 or below.</w:t>
            </w:r>
          </w:p>
        </w:tc>
      </w:tr>
      <w:tr w:rsidR="000A2A1C" w:rsidRPr="00772B7C" w14:paraId="17019B39" w14:textId="77777777" w:rsidTr="00FB1941">
        <w:tc>
          <w:tcPr>
            <w:tcW w:w="2195" w:type="dxa"/>
            <w:shd w:val="clear" w:color="auto" w:fill="auto"/>
          </w:tcPr>
          <w:p w14:paraId="2982A91B" w14:textId="77777777" w:rsidR="000A2A1C" w:rsidRPr="00772B7C" w:rsidRDefault="000A2A1C" w:rsidP="00772B7C">
            <w:pPr>
              <w:pStyle w:val="BlockText"/>
              <w:spacing w:after="120" w:line="240" w:lineRule="exact"/>
              <w:ind w:right="0"/>
              <w:rPr>
                <w:rFonts w:cs="Arial"/>
                <w:sz w:val="22"/>
                <w:szCs w:val="22"/>
              </w:rPr>
            </w:pPr>
            <w:r w:rsidRPr="00772B7C">
              <w:rPr>
                <w:rFonts w:cs="Arial"/>
                <w:sz w:val="22"/>
                <w:szCs w:val="22"/>
              </w:rPr>
              <w:t>Adaptive behaviour</w:t>
            </w:r>
          </w:p>
        </w:tc>
        <w:tc>
          <w:tcPr>
            <w:tcW w:w="6815" w:type="dxa"/>
            <w:shd w:val="clear" w:color="auto" w:fill="auto"/>
            <w:vAlign w:val="center"/>
          </w:tcPr>
          <w:p w14:paraId="149E4674" w14:textId="77777777" w:rsidR="000A2A1C" w:rsidRPr="00772B7C" w:rsidRDefault="000A2A1C" w:rsidP="00772B7C">
            <w:pPr>
              <w:spacing w:line="240" w:lineRule="exact"/>
              <w:rPr>
                <w:rFonts w:eastAsia="Times" w:cs="Arial"/>
                <w:szCs w:val="22"/>
                <w:lang w:eastAsia="en-AU"/>
              </w:rPr>
            </w:pPr>
            <w:r w:rsidRPr="00772B7C">
              <w:rPr>
                <w:rFonts w:eastAsia="Times" w:cs="Arial"/>
                <w:b/>
                <w:szCs w:val="22"/>
                <w:lang w:eastAsia="en-AU"/>
              </w:rPr>
              <w:t>Adaptive behaviour</w:t>
            </w:r>
            <w:r w:rsidRPr="00772B7C">
              <w:rPr>
                <w:rFonts w:eastAsia="Times" w:cs="Arial"/>
                <w:szCs w:val="22"/>
                <w:lang w:eastAsia="en-AU"/>
              </w:rPr>
              <w:t xml:space="preserve"> associated with intellectual disability is characterised by deficits that impair functioning in comparison to a person's age and cultural group in one or more aspects of daily living such as communication, social participation, functioning at school or work, or independence.</w:t>
            </w:r>
          </w:p>
        </w:tc>
      </w:tr>
      <w:tr w:rsidR="00B453CB" w:rsidRPr="00772B7C" w14:paraId="11EC545A" w14:textId="77777777" w:rsidTr="00FB1941">
        <w:tc>
          <w:tcPr>
            <w:tcW w:w="2195" w:type="dxa"/>
            <w:shd w:val="clear" w:color="auto" w:fill="auto"/>
          </w:tcPr>
          <w:p w14:paraId="33AC8D55" w14:textId="77777777" w:rsidR="00B453CB" w:rsidRPr="00772B7C" w:rsidRDefault="000A2A1C" w:rsidP="00772B7C">
            <w:pPr>
              <w:pStyle w:val="BlockText"/>
              <w:spacing w:after="120" w:line="240" w:lineRule="exact"/>
              <w:ind w:right="0"/>
              <w:rPr>
                <w:rFonts w:cs="Arial"/>
                <w:sz w:val="22"/>
                <w:szCs w:val="22"/>
              </w:rPr>
            </w:pPr>
            <w:r w:rsidRPr="00772B7C">
              <w:rPr>
                <w:rFonts w:cs="Arial"/>
                <w:sz w:val="22"/>
                <w:szCs w:val="22"/>
              </w:rPr>
              <w:t>Significant education adjustment</w:t>
            </w:r>
          </w:p>
        </w:tc>
        <w:tc>
          <w:tcPr>
            <w:tcW w:w="6815" w:type="dxa"/>
            <w:shd w:val="clear" w:color="auto" w:fill="auto"/>
            <w:vAlign w:val="center"/>
          </w:tcPr>
          <w:p w14:paraId="3143D26C" w14:textId="50D88013" w:rsidR="00B453CB" w:rsidRPr="00772B7C" w:rsidRDefault="007B3602" w:rsidP="00772B7C">
            <w:pPr>
              <w:pStyle w:val="BlockText"/>
              <w:spacing w:after="120" w:line="240" w:lineRule="exact"/>
              <w:rPr>
                <w:rFonts w:cs="Arial"/>
                <w:sz w:val="22"/>
                <w:szCs w:val="22"/>
              </w:rPr>
            </w:pPr>
            <w:r>
              <w:rPr>
                <w:rFonts w:cs="Arial"/>
                <w:sz w:val="22"/>
                <w:szCs w:val="22"/>
              </w:rPr>
              <w:t xml:space="preserve">A </w:t>
            </w:r>
            <w:r w:rsidRPr="000C1234">
              <w:rPr>
                <w:rFonts w:cs="Arial"/>
                <w:b/>
                <w:sz w:val="22"/>
                <w:szCs w:val="22"/>
              </w:rPr>
              <w:t>significant education adjustment</w:t>
            </w:r>
            <w:r>
              <w:rPr>
                <w:rFonts w:cs="Arial"/>
                <w:sz w:val="22"/>
                <w:szCs w:val="22"/>
              </w:rPr>
              <w:t xml:space="preserve">, </w:t>
            </w:r>
            <w:r w:rsidR="00F1435E">
              <w:rPr>
                <w:rFonts w:cs="Arial"/>
                <w:sz w:val="22"/>
                <w:szCs w:val="22"/>
              </w:rPr>
              <w:t>is</w:t>
            </w:r>
            <w:r w:rsidR="008F1055">
              <w:rPr>
                <w:rFonts w:cs="Arial"/>
                <w:sz w:val="22"/>
                <w:szCs w:val="22"/>
              </w:rPr>
              <w:t xml:space="preserve"> </w:t>
            </w:r>
            <w:r w:rsidR="00F1435E">
              <w:rPr>
                <w:rFonts w:cs="Arial"/>
                <w:sz w:val="22"/>
                <w:szCs w:val="22"/>
              </w:rPr>
              <w:t xml:space="preserve">verified through </w:t>
            </w:r>
            <w:r>
              <w:rPr>
                <w:rFonts w:cs="Arial"/>
                <w:sz w:val="22"/>
                <w:szCs w:val="22"/>
              </w:rPr>
              <w:t xml:space="preserve">the </w:t>
            </w:r>
            <w:r w:rsidR="004C7892" w:rsidRPr="00772B7C">
              <w:rPr>
                <w:rFonts w:cs="Arial"/>
                <w:sz w:val="22"/>
                <w:szCs w:val="22"/>
              </w:rPr>
              <w:t>Education Adjustment Program</w:t>
            </w:r>
            <w:r w:rsidR="00DC2101">
              <w:rPr>
                <w:rFonts w:cs="Arial"/>
                <w:sz w:val="22"/>
                <w:szCs w:val="22"/>
              </w:rPr>
              <w:t xml:space="preserve"> </w:t>
            </w:r>
            <w:r w:rsidR="00F1435E">
              <w:rPr>
                <w:rFonts w:cs="Arial"/>
                <w:sz w:val="22"/>
                <w:szCs w:val="22"/>
              </w:rPr>
              <w:t xml:space="preserve">by a </w:t>
            </w:r>
            <w:r w:rsidR="00F1435E" w:rsidRPr="00772B7C">
              <w:rPr>
                <w:rFonts w:cs="Arial"/>
                <w:sz w:val="22"/>
                <w:szCs w:val="22"/>
              </w:rPr>
              <w:t>departmental verifier for intellectual disability</w:t>
            </w:r>
            <w:r w:rsidR="00F1435E">
              <w:rPr>
                <w:rFonts w:cs="Arial"/>
                <w:sz w:val="22"/>
                <w:szCs w:val="22"/>
              </w:rPr>
              <w:t>.</w:t>
            </w:r>
            <w:r w:rsidR="00F1435E" w:rsidRPr="00772B7C">
              <w:rPr>
                <w:rFonts w:cs="Arial"/>
                <w:sz w:val="22"/>
                <w:szCs w:val="22"/>
              </w:rPr>
              <w:t xml:space="preserve"> </w:t>
            </w:r>
          </w:p>
        </w:tc>
      </w:tr>
      <w:tr w:rsidR="00B453CB" w:rsidRPr="00772B7C" w14:paraId="0AFBC80F" w14:textId="77777777" w:rsidTr="00FB1941">
        <w:tc>
          <w:tcPr>
            <w:tcW w:w="2195" w:type="dxa"/>
            <w:shd w:val="clear" w:color="auto" w:fill="auto"/>
          </w:tcPr>
          <w:p w14:paraId="326CAF60" w14:textId="77777777" w:rsidR="00B453CB" w:rsidRPr="00772B7C" w:rsidRDefault="00B453CB" w:rsidP="00772B7C">
            <w:pPr>
              <w:pStyle w:val="BlockText"/>
              <w:spacing w:after="120" w:line="240" w:lineRule="exact"/>
              <w:ind w:right="0"/>
              <w:rPr>
                <w:rFonts w:cs="Arial"/>
                <w:sz w:val="22"/>
                <w:szCs w:val="22"/>
              </w:rPr>
            </w:pPr>
            <w:r w:rsidRPr="00772B7C">
              <w:rPr>
                <w:rFonts w:cs="Arial"/>
                <w:sz w:val="22"/>
                <w:szCs w:val="22"/>
              </w:rPr>
              <w:lastRenderedPageBreak/>
              <w:t>Severe disability</w:t>
            </w:r>
          </w:p>
        </w:tc>
        <w:tc>
          <w:tcPr>
            <w:tcW w:w="6815" w:type="dxa"/>
            <w:shd w:val="clear" w:color="auto" w:fill="auto"/>
            <w:vAlign w:val="center"/>
          </w:tcPr>
          <w:p w14:paraId="2195CD90" w14:textId="4E9ED403" w:rsidR="00B453CB" w:rsidRPr="00772B7C" w:rsidRDefault="000A2A1C" w:rsidP="00772B7C">
            <w:pPr>
              <w:pStyle w:val="BlockText"/>
              <w:snapToGrid w:val="0"/>
              <w:spacing w:after="120" w:line="240" w:lineRule="exact"/>
              <w:rPr>
                <w:rFonts w:cs="Arial"/>
                <w:sz w:val="22"/>
                <w:szCs w:val="22"/>
              </w:rPr>
            </w:pPr>
            <w:r w:rsidRPr="00772B7C">
              <w:rPr>
                <w:rFonts w:cs="Arial"/>
                <w:b/>
                <w:iCs/>
                <w:sz w:val="22"/>
                <w:szCs w:val="22"/>
              </w:rPr>
              <w:t>Severe disability</w:t>
            </w:r>
            <w:r w:rsidR="001A0AF5" w:rsidRPr="00772B7C">
              <w:rPr>
                <w:rFonts w:cs="Arial"/>
                <w:b/>
                <w:sz w:val="22"/>
                <w:szCs w:val="22"/>
              </w:rPr>
              <w:t xml:space="preserve"> </w:t>
            </w:r>
            <w:r w:rsidR="001A0AF5" w:rsidRPr="00772B7C">
              <w:rPr>
                <w:rFonts w:cs="Arial"/>
                <w:sz w:val="22"/>
                <w:szCs w:val="22"/>
              </w:rPr>
              <w:t>means a disability where the impact of the intellectual disability, or multiple impairments (including an intellectual disability), results in the student requiring a highly individualised program to access and participate in education.</w:t>
            </w:r>
          </w:p>
        </w:tc>
      </w:tr>
      <w:tr w:rsidR="00A62E71" w:rsidRPr="00772B7C" w14:paraId="3C0A509D" w14:textId="77777777" w:rsidTr="00FB1941">
        <w:tc>
          <w:tcPr>
            <w:tcW w:w="2195" w:type="dxa"/>
            <w:shd w:val="clear" w:color="auto" w:fill="auto"/>
          </w:tcPr>
          <w:p w14:paraId="35DF8AA1" w14:textId="0BB32D3A" w:rsidR="00A62E71" w:rsidRPr="00772B7C" w:rsidRDefault="00A62E71" w:rsidP="00772B7C">
            <w:pPr>
              <w:pStyle w:val="BlockText"/>
              <w:spacing w:after="120" w:line="240" w:lineRule="exact"/>
              <w:ind w:right="0"/>
              <w:rPr>
                <w:rFonts w:cs="Arial"/>
                <w:sz w:val="22"/>
                <w:szCs w:val="22"/>
              </w:rPr>
            </w:pPr>
            <w:r w:rsidRPr="00772B7C">
              <w:rPr>
                <w:rFonts w:cs="Arial"/>
                <w:sz w:val="22"/>
                <w:szCs w:val="22"/>
              </w:rPr>
              <w:t>Highly individualised program</w:t>
            </w:r>
          </w:p>
        </w:tc>
        <w:tc>
          <w:tcPr>
            <w:tcW w:w="6815" w:type="dxa"/>
            <w:shd w:val="clear" w:color="auto" w:fill="auto"/>
            <w:vAlign w:val="center"/>
          </w:tcPr>
          <w:p w14:paraId="63BCCE82" w14:textId="77777777" w:rsidR="00A62E71" w:rsidRPr="00772B7C" w:rsidRDefault="00A62E71" w:rsidP="00772B7C">
            <w:pPr>
              <w:pStyle w:val="BlockText"/>
              <w:spacing w:after="120" w:line="240" w:lineRule="exact"/>
              <w:rPr>
                <w:rFonts w:cs="Arial"/>
                <w:sz w:val="22"/>
                <w:szCs w:val="22"/>
              </w:rPr>
            </w:pPr>
            <w:r w:rsidRPr="00772B7C">
              <w:rPr>
                <w:rFonts w:cs="Arial"/>
                <w:sz w:val="22"/>
                <w:szCs w:val="22"/>
              </w:rPr>
              <w:t xml:space="preserve">A </w:t>
            </w:r>
            <w:r w:rsidRPr="00772B7C">
              <w:rPr>
                <w:rFonts w:cs="Arial"/>
                <w:b/>
                <w:sz w:val="22"/>
                <w:szCs w:val="22"/>
              </w:rPr>
              <w:t>highly individualised program</w:t>
            </w:r>
            <w:r w:rsidRPr="00772B7C">
              <w:rPr>
                <w:rFonts w:cs="Arial"/>
                <w:sz w:val="22"/>
                <w:szCs w:val="22"/>
              </w:rPr>
              <w:t xml:space="preserve"> includes the following:</w:t>
            </w:r>
          </w:p>
          <w:p w14:paraId="5D4B4F68" w14:textId="77777777" w:rsidR="00A62E71" w:rsidRPr="00772B7C" w:rsidRDefault="00A62E71" w:rsidP="00772B7C">
            <w:pPr>
              <w:pStyle w:val="BlockText"/>
              <w:numPr>
                <w:ilvl w:val="0"/>
                <w:numId w:val="8"/>
              </w:numPr>
              <w:spacing w:after="120" w:line="240" w:lineRule="exact"/>
              <w:rPr>
                <w:rFonts w:cs="Arial"/>
                <w:sz w:val="22"/>
                <w:szCs w:val="22"/>
              </w:rPr>
            </w:pPr>
            <w:r w:rsidRPr="00772B7C">
              <w:rPr>
                <w:rFonts w:cs="Arial"/>
                <w:sz w:val="22"/>
                <w:szCs w:val="22"/>
              </w:rPr>
              <w:t xml:space="preserve">a negotiated individual learning plan identifying the individual curriculum pathway with appropriate learning expectations </w:t>
            </w:r>
          </w:p>
          <w:p w14:paraId="2D321E20" w14:textId="77777777" w:rsidR="00A62E71" w:rsidRPr="00772B7C" w:rsidRDefault="00A62E71" w:rsidP="00772B7C">
            <w:pPr>
              <w:pStyle w:val="BlockText"/>
              <w:numPr>
                <w:ilvl w:val="0"/>
                <w:numId w:val="8"/>
              </w:numPr>
              <w:spacing w:after="120" w:line="240" w:lineRule="exact"/>
              <w:rPr>
                <w:rFonts w:cs="Arial"/>
                <w:sz w:val="22"/>
                <w:szCs w:val="22"/>
              </w:rPr>
            </w:pPr>
            <w:r w:rsidRPr="00772B7C">
              <w:rPr>
                <w:rFonts w:cs="Arial"/>
                <w:sz w:val="22"/>
                <w:szCs w:val="22"/>
              </w:rPr>
              <w:t xml:space="preserve">assessment and reporting against these learning expectations </w:t>
            </w:r>
          </w:p>
          <w:p w14:paraId="76BA8731" w14:textId="77777777" w:rsidR="00A62E71" w:rsidRPr="00772B7C" w:rsidRDefault="00A62E71" w:rsidP="00772B7C">
            <w:pPr>
              <w:pStyle w:val="BlockText"/>
              <w:numPr>
                <w:ilvl w:val="0"/>
                <w:numId w:val="8"/>
              </w:numPr>
              <w:spacing w:after="120" w:line="240" w:lineRule="exact"/>
              <w:rPr>
                <w:rFonts w:cs="Arial"/>
                <w:sz w:val="22"/>
                <w:szCs w:val="22"/>
              </w:rPr>
            </w:pPr>
            <w:r w:rsidRPr="00772B7C">
              <w:rPr>
                <w:rFonts w:cs="Arial"/>
                <w:sz w:val="22"/>
                <w:szCs w:val="22"/>
              </w:rPr>
              <w:t xml:space="preserve">specialised teaching </w:t>
            </w:r>
          </w:p>
          <w:p w14:paraId="6CE14D45" w14:textId="77777777" w:rsidR="00A62E71" w:rsidRPr="00772B7C" w:rsidRDefault="00A62E71" w:rsidP="00772B7C">
            <w:pPr>
              <w:pStyle w:val="BlockText"/>
              <w:numPr>
                <w:ilvl w:val="0"/>
                <w:numId w:val="8"/>
              </w:numPr>
              <w:spacing w:after="120" w:line="240" w:lineRule="exact"/>
              <w:rPr>
                <w:rFonts w:cs="Arial"/>
                <w:sz w:val="22"/>
                <w:szCs w:val="22"/>
              </w:rPr>
            </w:pPr>
            <w:r w:rsidRPr="00772B7C">
              <w:rPr>
                <w:rFonts w:cs="Arial"/>
                <w:sz w:val="22"/>
                <w:szCs w:val="22"/>
              </w:rPr>
              <w:t xml:space="preserve">significant education adjustments </w:t>
            </w:r>
          </w:p>
          <w:p w14:paraId="1A5E549E" w14:textId="77777777" w:rsidR="00A62E71" w:rsidRPr="00772B7C" w:rsidRDefault="00A62E71" w:rsidP="00772B7C">
            <w:pPr>
              <w:pStyle w:val="BlockText"/>
              <w:numPr>
                <w:ilvl w:val="0"/>
                <w:numId w:val="8"/>
              </w:numPr>
              <w:spacing w:after="120" w:line="240" w:lineRule="exact"/>
              <w:rPr>
                <w:rFonts w:cs="Arial"/>
                <w:sz w:val="22"/>
                <w:szCs w:val="22"/>
              </w:rPr>
            </w:pPr>
            <w:r w:rsidRPr="00772B7C">
              <w:rPr>
                <w:rFonts w:cs="Arial"/>
                <w:sz w:val="22"/>
                <w:szCs w:val="22"/>
              </w:rPr>
              <w:t xml:space="preserve">continuous monitoring and support delivered by a multi-disciplinary team which may include: </w:t>
            </w:r>
          </w:p>
          <w:p w14:paraId="2FE0F150" w14:textId="77777777" w:rsidR="00A62E71" w:rsidRPr="00772B7C" w:rsidRDefault="00A62E71" w:rsidP="00772B7C">
            <w:pPr>
              <w:pStyle w:val="BlockText"/>
              <w:numPr>
                <w:ilvl w:val="1"/>
                <w:numId w:val="8"/>
              </w:numPr>
              <w:spacing w:after="120" w:line="240" w:lineRule="exact"/>
              <w:rPr>
                <w:rFonts w:cs="Arial"/>
                <w:sz w:val="22"/>
                <w:szCs w:val="22"/>
              </w:rPr>
            </w:pPr>
            <w:r w:rsidRPr="00772B7C">
              <w:rPr>
                <w:rFonts w:cs="Arial"/>
                <w:sz w:val="22"/>
                <w:szCs w:val="22"/>
              </w:rPr>
              <w:t xml:space="preserve">alternate/augmentative communication programs </w:t>
            </w:r>
          </w:p>
          <w:p w14:paraId="63966194" w14:textId="77777777" w:rsidR="00A62E71" w:rsidRPr="00772B7C" w:rsidRDefault="00A62E71" w:rsidP="00772B7C">
            <w:pPr>
              <w:pStyle w:val="BlockText"/>
              <w:numPr>
                <w:ilvl w:val="1"/>
                <w:numId w:val="8"/>
              </w:numPr>
              <w:spacing w:after="120" w:line="240" w:lineRule="exact"/>
              <w:rPr>
                <w:rFonts w:cs="Arial"/>
                <w:sz w:val="22"/>
                <w:szCs w:val="22"/>
              </w:rPr>
            </w:pPr>
            <w:r w:rsidRPr="00772B7C">
              <w:rPr>
                <w:rFonts w:cs="Arial"/>
                <w:sz w:val="22"/>
                <w:szCs w:val="22"/>
              </w:rPr>
              <w:t xml:space="preserve">small groups or one on one support </w:t>
            </w:r>
          </w:p>
          <w:p w14:paraId="1B2A4A9A" w14:textId="77777777" w:rsidR="00A62E71" w:rsidRPr="00772B7C" w:rsidRDefault="00A62E71" w:rsidP="00772B7C">
            <w:pPr>
              <w:pStyle w:val="BlockText"/>
              <w:numPr>
                <w:ilvl w:val="1"/>
                <w:numId w:val="8"/>
              </w:numPr>
              <w:spacing w:after="120" w:line="240" w:lineRule="exact"/>
              <w:rPr>
                <w:rFonts w:cs="Arial"/>
                <w:sz w:val="22"/>
                <w:szCs w:val="22"/>
              </w:rPr>
            </w:pPr>
            <w:r w:rsidRPr="00772B7C">
              <w:rPr>
                <w:rFonts w:cs="Arial"/>
                <w:sz w:val="22"/>
                <w:szCs w:val="22"/>
              </w:rPr>
              <w:t xml:space="preserve">therapy programs </w:t>
            </w:r>
          </w:p>
          <w:p w14:paraId="5BD601A7" w14:textId="407CB5A2" w:rsidR="00A62E71" w:rsidRPr="00772B7C" w:rsidRDefault="00A62E71" w:rsidP="00772B7C">
            <w:pPr>
              <w:pStyle w:val="BlockText"/>
              <w:numPr>
                <w:ilvl w:val="1"/>
                <w:numId w:val="8"/>
              </w:numPr>
              <w:spacing w:after="120" w:line="240" w:lineRule="exact"/>
              <w:rPr>
                <w:rFonts w:cs="Arial"/>
                <w:b/>
                <w:iCs/>
                <w:sz w:val="22"/>
                <w:szCs w:val="22"/>
              </w:rPr>
            </w:pPr>
            <w:r w:rsidRPr="00772B7C">
              <w:rPr>
                <w:rFonts w:cs="Arial"/>
                <w:sz w:val="22"/>
                <w:szCs w:val="22"/>
              </w:rPr>
              <w:t>specialised health needs management.</w:t>
            </w:r>
          </w:p>
        </w:tc>
      </w:tr>
      <w:tr w:rsidR="00B453CB" w:rsidRPr="00772B7C" w14:paraId="51F03D4B" w14:textId="77777777" w:rsidTr="00FB1941">
        <w:tc>
          <w:tcPr>
            <w:tcW w:w="2195" w:type="dxa"/>
            <w:shd w:val="clear" w:color="auto" w:fill="auto"/>
          </w:tcPr>
          <w:p w14:paraId="7836AA82" w14:textId="77777777" w:rsidR="00B453CB" w:rsidRPr="00772B7C" w:rsidRDefault="00B453CB" w:rsidP="00772B7C">
            <w:pPr>
              <w:pStyle w:val="BlockText"/>
              <w:spacing w:after="120" w:line="240" w:lineRule="exact"/>
              <w:ind w:right="0"/>
              <w:rPr>
                <w:rFonts w:cs="Arial"/>
                <w:sz w:val="22"/>
                <w:szCs w:val="22"/>
              </w:rPr>
            </w:pPr>
            <w:r w:rsidRPr="00772B7C">
              <w:rPr>
                <w:rFonts w:cs="Arial"/>
                <w:sz w:val="22"/>
                <w:szCs w:val="22"/>
              </w:rPr>
              <w:t>Specialised health needs</w:t>
            </w:r>
          </w:p>
        </w:tc>
        <w:tc>
          <w:tcPr>
            <w:tcW w:w="6815" w:type="dxa"/>
            <w:shd w:val="clear" w:color="auto" w:fill="auto"/>
            <w:vAlign w:val="center"/>
          </w:tcPr>
          <w:p w14:paraId="64382CDE" w14:textId="77777777" w:rsidR="001A0AF5" w:rsidRPr="00772B7C" w:rsidRDefault="001A0AF5" w:rsidP="00772B7C">
            <w:pPr>
              <w:pStyle w:val="BlockText"/>
              <w:spacing w:after="120" w:line="240" w:lineRule="exact"/>
              <w:rPr>
                <w:rFonts w:cs="Arial"/>
                <w:sz w:val="22"/>
                <w:szCs w:val="22"/>
              </w:rPr>
            </w:pPr>
            <w:r w:rsidRPr="00772B7C">
              <w:rPr>
                <w:rFonts w:cs="Arial"/>
                <w:b/>
                <w:sz w:val="22"/>
                <w:szCs w:val="22"/>
              </w:rPr>
              <w:t>Specialised health needs</w:t>
            </w:r>
            <w:r w:rsidRPr="00772B7C">
              <w:rPr>
                <w:rFonts w:cs="Arial"/>
                <w:sz w:val="22"/>
                <w:szCs w:val="22"/>
              </w:rPr>
              <w:t xml:space="preserve"> are defined as procedures/interventions that are essential to enable a student to access their educational program. They are requested, prescribed and/or established by an appropriate qualified health professional and incorporate routine and/or emergency procedures and interventions.</w:t>
            </w:r>
          </w:p>
          <w:p w14:paraId="5A1E335D" w14:textId="77777777" w:rsidR="001A0AF5" w:rsidRPr="00772B7C" w:rsidRDefault="001A0AF5" w:rsidP="00772B7C">
            <w:pPr>
              <w:pStyle w:val="BlockText"/>
              <w:spacing w:after="120" w:line="240" w:lineRule="exact"/>
              <w:rPr>
                <w:rFonts w:cs="Arial"/>
                <w:sz w:val="22"/>
                <w:szCs w:val="22"/>
              </w:rPr>
            </w:pPr>
            <w:r w:rsidRPr="00772B7C">
              <w:rPr>
                <w:rFonts w:cs="Arial"/>
                <w:sz w:val="22"/>
                <w:szCs w:val="22"/>
              </w:rPr>
              <w:t>Specialised health procedures and interventions include, but are not limited to:</w:t>
            </w:r>
          </w:p>
          <w:p w14:paraId="53A55425" w14:textId="77777777" w:rsidR="001A0AF5" w:rsidRPr="00772B7C" w:rsidRDefault="001A0AF5" w:rsidP="00772B7C">
            <w:pPr>
              <w:pStyle w:val="BlockText"/>
              <w:numPr>
                <w:ilvl w:val="0"/>
                <w:numId w:val="9"/>
              </w:numPr>
              <w:spacing w:after="120" w:line="240" w:lineRule="exact"/>
              <w:rPr>
                <w:rFonts w:cs="Arial"/>
                <w:sz w:val="22"/>
                <w:szCs w:val="22"/>
              </w:rPr>
            </w:pPr>
            <w:r w:rsidRPr="00772B7C">
              <w:rPr>
                <w:rFonts w:cs="Arial"/>
                <w:sz w:val="22"/>
                <w:szCs w:val="22"/>
              </w:rPr>
              <w:t xml:space="preserve">enteral/artificial feeding (gastrostomy, nasogastric, jejunostomy) </w:t>
            </w:r>
          </w:p>
          <w:p w14:paraId="0899F5B9" w14:textId="77777777" w:rsidR="001A0AF5" w:rsidRPr="00772B7C" w:rsidRDefault="001A0AF5" w:rsidP="00772B7C">
            <w:pPr>
              <w:pStyle w:val="BlockText"/>
              <w:numPr>
                <w:ilvl w:val="0"/>
                <w:numId w:val="9"/>
              </w:numPr>
              <w:spacing w:after="120" w:line="240" w:lineRule="exact"/>
              <w:rPr>
                <w:rFonts w:cs="Arial"/>
                <w:sz w:val="22"/>
                <w:szCs w:val="22"/>
              </w:rPr>
            </w:pPr>
            <w:r w:rsidRPr="00772B7C">
              <w:rPr>
                <w:rFonts w:cs="Arial"/>
                <w:sz w:val="22"/>
                <w:szCs w:val="22"/>
              </w:rPr>
              <w:t xml:space="preserve">airway management (tracheostomy care, oral suctioning, oxygen therapy) </w:t>
            </w:r>
          </w:p>
          <w:p w14:paraId="15746B5D" w14:textId="77777777" w:rsidR="001A0AF5" w:rsidRPr="00772B7C" w:rsidRDefault="001A0AF5" w:rsidP="00772B7C">
            <w:pPr>
              <w:pStyle w:val="BlockText"/>
              <w:numPr>
                <w:ilvl w:val="0"/>
                <w:numId w:val="9"/>
              </w:numPr>
              <w:spacing w:after="120" w:line="240" w:lineRule="exact"/>
              <w:rPr>
                <w:rFonts w:cs="Arial"/>
                <w:sz w:val="22"/>
                <w:szCs w:val="22"/>
              </w:rPr>
            </w:pPr>
            <w:r w:rsidRPr="00772B7C">
              <w:rPr>
                <w:rFonts w:cs="Arial"/>
                <w:sz w:val="22"/>
                <w:szCs w:val="22"/>
              </w:rPr>
              <w:t xml:space="preserve">epilepsy management (seizure management, emergency medication) </w:t>
            </w:r>
          </w:p>
          <w:p w14:paraId="2E478842" w14:textId="77777777" w:rsidR="001A0AF5" w:rsidRPr="00772B7C" w:rsidRDefault="001A0AF5" w:rsidP="00772B7C">
            <w:pPr>
              <w:pStyle w:val="BlockText"/>
              <w:numPr>
                <w:ilvl w:val="0"/>
                <w:numId w:val="9"/>
              </w:numPr>
              <w:spacing w:after="120" w:line="240" w:lineRule="exact"/>
              <w:rPr>
                <w:rFonts w:cs="Arial"/>
                <w:sz w:val="22"/>
                <w:szCs w:val="22"/>
              </w:rPr>
            </w:pPr>
            <w:r w:rsidRPr="00772B7C">
              <w:rPr>
                <w:rFonts w:cs="Arial"/>
                <w:sz w:val="22"/>
                <w:szCs w:val="22"/>
              </w:rPr>
              <w:t xml:space="preserve">individualised mealtime programs with supervision </w:t>
            </w:r>
          </w:p>
          <w:p w14:paraId="09430BAB" w14:textId="77777777" w:rsidR="001A0AF5" w:rsidRPr="00772B7C" w:rsidRDefault="001A0AF5" w:rsidP="00772B7C">
            <w:pPr>
              <w:pStyle w:val="BlockText"/>
              <w:numPr>
                <w:ilvl w:val="0"/>
                <w:numId w:val="9"/>
              </w:numPr>
              <w:spacing w:after="120" w:line="240" w:lineRule="exact"/>
              <w:rPr>
                <w:rFonts w:cs="Arial"/>
                <w:sz w:val="22"/>
                <w:szCs w:val="22"/>
              </w:rPr>
            </w:pPr>
            <w:r w:rsidRPr="00772B7C">
              <w:rPr>
                <w:rFonts w:cs="Arial"/>
                <w:sz w:val="22"/>
                <w:szCs w:val="22"/>
              </w:rPr>
              <w:t xml:space="preserve">toileting management (ostomy care, individualised toileting programs, catheterisation) </w:t>
            </w:r>
          </w:p>
          <w:p w14:paraId="6C2361BB" w14:textId="77777777" w:rsidR="001A0AF5" w:rsidRPr="00772B7C" w:rsidRDefault="001A0AF5" w:rsidP="00772B7C">
            <w:pPr>
              <w:pStyle w:val="BlockText"/>
              <w:numPr>
                <w:ilvl w:val="0"/>
                <w:numId w:val="9"/>
              </w:numPr>
              <w:spacing w:after="120" w:line="240" w:lineRule="exact"/>
              <w:rPr>
                <w:rFonts w:cs="Arial"/>
                <w:sz w:val="22"/>
                <w:szCs w:val="22"/>
              </w:rPr>
            </w:pPr>
            <w:r w:rsidRPr="00772B7C">
              <w:rPr>
                <w:rFonts w:cs="Arial"/>
                <w:sz w:val="22"/>
                <w:szCs w:val="22"/>
              </w:rPr>
              <w:t xml:space="preserve">diabetes management </w:t>
            </w:r>
          </w:p>
          <w:p w14:paraId="24692F22" w14:textId="77777777" w:rsidR="001A0AF5" w:rsidRPr="00772B7C" w:rsidRDefault="001A0AF5" w:rsidP="00772B7C">
            <w:pPr>
              <w:pStyle w:val="BlockText"/>
              <w:numPr>
                <w:ilvl w:val="0"/>
                <w:numId w:val="9"/>
              </w:numPr>
              <w:spacing w:after="120" w:line="240" w:lineRule="exact"/>
              <w:rPr>
                <w:rFonts w:cs="Arial"/>
                <w:sz w:val="22"/>
                <w:szCs w:val="22"/>
              </w:rPr>
            </w:pPr>
            <w:r w:rsidRPr="00772B7C">
              <w:rPr>
                <w:rFonts w:cs="Arial"/>
                <w:sz w:val="22"/>
                <w:szCs w:val="22"/>
              </w:rPr>
              <w:t xml:space="preserve">prescribed medication management </w:t>
            </w:r>
          </w:p>
          <w:p w14:paraId="7241E9EA" w14:textId="77777777" w:rsidR="001A0AF5" w:rsidRPr="00772B7C" w:rsidRDefault="001A0AF5" w:rsidP="00772B7C">
            <w:pPr>
              <w:pStyle w:val="BlockText"/>
              <w:numPr>
                <w:ilvl w:val="0"/>
                <w:numId w:val="9"/>
              </w:numPr>
              <w:spacing w:after="120" w:line="240" w:lineRule="exact"/>
              <w:rPr>
                <w:rFonts w:cs="Arial"/>
                <w:sz w:val="22"/>
                <w:szCs w:val="22"/>
              </w:rPr>
            </w:pPr>
            <w:r w:rsidRPr="00772B7C">
              <w:rPr>
                <w:rFonts w:cs="Arial"/>
                <w:sz w:val="22"/>
                <w:szCs w:val="22"/>
              </w:rPr>
              <w:t xml:space="preserve">asthma management </w:t>
            </w:r>
          </w:p>
          <w:p w14:paraId="65B7A98C" w14:textId="77777777" w:rsidR="00B453CB" w:rsidRPr="00772B7C" w:rsidRDefault="001A0AF5" w:rsidP="00772B7C">
            <w:pPr>
              <w:pStyle w:val="BlockText"/>
              <w:numPr>
                <w:ilvl w:val="0"/>
                <w:numId w:val="9"/>
              </w:numPr>
              <w:spacing w:after="120" w:line="240" w:lineRule="exact"/>
              <w:rPr>
                <w:rFonts w:cs="Arial"/>
                <w:sz w:val="22"/>
                <w:szCs w:val="22"/>
              </w:rPr>
            </w:pPr>
            <w:r w:rsidRPr="00772B7C">
              <w:rPr>
                <w:rFonts w:cs="Arial"/>
                <w:sz w:val="22"/>
                <w:szCs w:val="22"/>
              </w:rPr>
              <w:t>anaphylaxis management.</w:t>
            </w:r>
          </w:p>
        </w:tc>
      </w:tr>
      <w:tr w:rsidR="00B453CB" w:rsidRPr="00772B7C" w14:paraId="60F75F3A" w14:textId="77777777" w:rsidTr="00FB1941">
        <w:tc>
          <w:tcPr>
            <w:tcW w:w="2195" w:type="dxa"/>
            <w:shd w:val="clear" w:color="auto" w:fill="auto"/>
          </w:tcPr>
          <w:p w14:paraId="086C537F" w14:textId="77777777" w:rsidR="00B453CB" w:rsidRPr="00772B7C" w:rsidRDefault="00B453CB" w:rsidP="00772B7C">
            <w:pPr>
              <w:pStyle w:val="BlockText"/>
              <w:spacing w:after="120" w:line="240" w:lineRule="exact"/>
              <w:ind w:right="0"/>
              <w:rPr>
                <w:rFonts w:cs="Arial"/>
                <w:sz w:val="22"/>
                <w:szCs w:val="22"/>
              </w:rPr>
            </w:pPr>
            <w:r w:rsidRPr="00772B7C">
              <w:rPr>
                <w:rFonts w:cs="Arial"/>
                <w:sz w:val="22"/>
                <w:szCs w:val="22"/>
              </w:rPr>
              <w:t>Special education</w:t>
            </w:r>
          </w:p>
        </w:tc>
        <w:tc>
          <w:tcPr>
            <w:tcW w:w="6815" w:type="dxa"/>
            <w:shd w:val="clear" w:color="auto" w:fill="auto"/>
            <w:vAlign w:val="center"/>
          </w:tcPr>
          <w:p w14:paraId="3ECBDC2B" w14:textId="77777777" w:rsidR="001A0AF5" w:rsidRPr="00772B7C" w:rsidRDefault="001A0AF5" w:rsidP="00772B7C">
            <w:pPr>
              <w:pStyle w:val="BlockText"/>
              <w:spacing w:after="120" w:line="240" w:lineRule="exact"/>
              <w:rPr>
                <w:rFonts w:cs="Arial"/>
                <w:sz w:val="22"/>
                <w:szCs w:val="22"/>
              </w:rPr>
            </w:pPr>
            <w:r w:rsidRPr="00772B7C">
              <w:rPr>
                <w:rFonts w:cs="Arial"/>
                <w:b/>
                <w:sz w:val="22"/>
                <w:szCs w:val="22"/>
              </w:rPr>
              <w:t>Special education</w:t>
            </w:r>
            <w:r w:rsidRPr="00772B7C">
              <w:rPr>
                <w:rFonts w:cs="Arial"/>
                <w:sz w:val="22"/>
                <w:szCs w:val="22"/>
              </w:rPr>
              <w:t xml:space="preserve"> is defined in Schedule 4 of the </w:t>
            </w:r>
            <w:r w:rsidRPr="00772B7C">
              <w:rPr>
                <w:rFonts w:cs="Arial"/>
                <w:i/>
                <w:iCs/>
                <w:sz w:val="22"/>
                <w:szCs w:val="22"/>
              </w:rPr>
              <w:t>Education (General Provisions) Act 2006</w:t>
            </w:r>
            <w:r w:rsidRPr="00772B7C">
              <w:rPr>
                <w:rFonts w:cs="Arial"/>
                <w:sz w:val="22"/>
                <w:szCs w:val="22"/>
              </w:rPr>
              <w:t xml:space="preserve"> to mean the educational programs and services:</w:t>
            </w:r>
          </w:p>
          <w:p w14:paraId="2DCA3DD5" w14:textId="77777777" w:rsidR="001A0AF5" w:rsidRPr="00772B7C" w:rsidRDefault="001A0AF5" w:rsidP="00772B7C">
            <w:pPr>
              <w:pStyle w:val="BlockText"/>
              <w:numPr>
                <w:ilvl w:val="0"/>
                <w:numId w:val="10"/>
              </w:numPr>
              <w:spacing w:after="120" w:line="240" w:lineRule="exact"/>
              <w:rPr>
                <w:rFonts w:cs="Arial"/>
                <w:sz w:val="22"/>
                <w:szCs w:val="22"/>
              </w:rPr>
            </w:pPr>
            <w:r w:rsidRPr="00772B7C">
              <w:rPr>
                <w:rFonts w:cs="Arial"/>
                <w:sz w:val="22"/>
                <w:szCs w:val="22"/>
              </w:rPr>
              <w:t xml:space="preserve">appropriate to the needs of persons with a disability; and </w:t>
            </w:r>
          </w:p>
          <w:p w14:paraId="42B2D08C" w14:textId="77777777" w:rsidR="00B453CB" w:rsidRPr="00772B7C" w:rsidRDefault="001A0AF5" w:rsidP="00772B7C">
            <w:pPr>
              <w:pStyle w:val="BlockText"/>
              <w:numPr>
                <w:ilvl w:val="0"/>
                <w:numId w:val="10"/>
              </w:numPr>
              <w:spacing w:after="120" w:line="240" w:lineRule="exact"/>
              <w:rPr>
                <w:rFonts w:cs="Arial"/>
                <w:sz w:val="22"/>
                <w:szCs w:val="22"/>
              </w:rPr>
            </w:pPr>
            <w:r w:rsidRPr="00772B7C">
              <w:rPr>
                <w:rFonts w:cs="Arial"/>
                <w:sz w:val="22"/>
                <w:szCs w:val="22"/>
              </w:rPr>
              <w:t>additional to, or otherwise different from, educational programs and services generally available to persons of the relevant age who are not persons with a disability.</w:t>
            </w:r>
          </w:p>
        </w:tc>
      </w:tr>
      <w:tr w:rsidR="00B453CB" w:rsidRPr="00772B7C" w14:paraId="74742C4B" w14:textId="77777777" w:rsidTr="00FB1941">
        <w:tc>
          <w:tcPr>
            <w:tcW w:w="2195" w:type="dxa"/>
            <w:shd w:val="clear" w:color="auto" w:fill="auto"/>
          </w:tcPr>
          <w:p w14:paraId="0D0D2225" w14:textId="77777777" w:rsidR="00B453CB" w:rsidRPr="00772B7C" w:rsidRDefault="00B453CB" w:rsidP="00772B7C">
            <w:pPr>
              <w:pStyle w:val="BlockText"/>
              <w:spacing w:after="120" w:line="240" w:lineRule="exact"/>
              <w:ind w:right="0"/>
              <w:rPr>
                <w:rFonts w:cs="Arial"/>
                <w:sz w:val="22"/>
                <w:szCs w:val="22"/>
              </w:rPr>
            </w:pPr>
            <w:r w:rsidRPr="00772B7C">
              <w:rPr>
                <w:rFonts w:cs="Arial"/>
                <w:sz w:val="22"/>
                <w:szCs w:val="22"/>
              </w:rPr>
              <w:lastRenderedPageBreak/>
              <w:t>Special school</w:t>
            </w:r>
          </w:p>
        </w:tc>
        <w:tc>
          <w:tcPr>
            <w:tcW w:w="6815" w:type="dxa"/>
            <w:shd w:val="clear" w:color="auto" w:fill="auto"/>
            <w:vAlign w:val="center"/>
          </w:tcPr>
          <w:p w14:paraId="4BE39266" w14:textId="77777777" w:rsidR="00B453CB" w:rsidRPr="00772B7C" w:rsidRDefault="00B453CB" w:rsidP="00772B7C">
            <w:pPr>
              <w:pStyle w:val="BlockText"/>
              <w:spacing w:after="120" w:line="240" w:lineRule="exact"/>
              <w:ind w:right="0"/>
              <w:rPr>
                <w:rFonts w:cs="Arial"/>
                <w:sz w:val="22"/>
                <w:szCs w:val="22"/>
              </w:rPr>
            </w:pPr>
            <w:r w:rsidRPr="00772B7C">
              <w:rPr>
                <w:rFonts w:cs="Arial"/>
                <w:b/>
                <w:sz w:val="22"/>
                <w:szCs w:val="22"/>
              </w:rPr>
              <w:t>Special school</w:t>
            </w:r>
            <w:r w:rsidRPr="00772B7C">
              <w:rPr>
                <w:rFonts w:cs="Arial"/>
                <w:sz w:val="22"/>
                <w:szCs w:val="22"/>
              </w:rPr>
              <w:t xml:space="preserve"> is defined in Schedule 4 of </w:t>
            </w:r>
            <w:r w:rsidRPr="00772B7C">
              <w:rPr>
                <w:rFonts w:cs="Arial"/>
                <w:i/>
                <w:sz w:val="22"/>
                <w:szCs w:val="22"/>
              </w:rPr>
              <w:t>the Education (General Provisions) Act 2006</w:t>
            </w:r>
            <w:r w:rsidRPr="00772B7C">
              <w:rPr>
                <w:rFonts w:cs="Arial"/>
                <w:sz w:val="22"/>
                <w:szCs w:val="22"/>
              </w:rPr>
              <w:t xml:space="preserve"> (Qld) to mean a state school only providing special education.</w:t>
            </w:r>
          </w:p>
        </w:tc>
      </w:tr>
      <w:tr w:rsidR="00B453CB" w:rsidRPr="00772B7C" w14:paraId="01E74232" w14:textId="77777777" w:rsidTr="00FB1941">
        <w:tc>
          <w:tcPr>
            <w:tcW w:w="2195" w:type="dxa"/>
            <w:shd w:val="clear" w:color="auto" w:fill="auto"/>
          </w:tcPr>
          <w:p w14:paraId="27D41FE6" w14:textId="77777777" w:rsidR="00B453CB" w:rsidRPr="00772B7C" w:rsidRDefault="00B453CB" w:rsidP="00772B7C">
            <w:pPr>
              <w:pStyle w:val="BlockText"/>
              <w:spacing w:after="120" w:line="240" w:lineRule="exact"/>
              <w:ind w:right="0"/>
              <w:rPr>
                <w:rFonts w:cs="Arial"/>
                <w:sz w:val="22"/>
                <w:szCs w:val="22"/>
              </w:rPr>
            </w:pPr>
            <w:r w:rsidRPr="00772B7C">
              <w:rPr>
                <w:rFonts w:cs="Arial"/>
                <w:sz w:val="22"/>
                <w:szCs w:val="22"/>
              </w:rPr>
              <w:t xml:space="preserve">Departmental verifier – </w:t>
            </w:r>
            <w:r w:rsidR="000A2A1C" w:rsidRPr="00772B7C">
              <w:rPr>
                <w:rFonts w:cs="Arial"/>
                <w:sz w:val="22"/>
                <w:szCs w:val="22"/>
              </w:rPr>
              <w:t>Intellectual</w:t>
            </w:r>
            <w:r w:rsidRPr="00772B7C">
              <w:rPr>
                <w:rFonts w:cs="Arial"/>
                <w:sz w:val="22"/>
                <w:szCs w:val="22"/>
              </w:rPr>
              <w:t xml:space="preserve"> disability</w:t>
            </w:r>
          </w:p>
        </w:tc>
        <w:tc>
          <w:tcPr>
            <w:tcW w:w="6815" w:type="dxa"/>
            <w:shd w:val="clear" w:color="auto" w:fill="auto"/>
            <w:vAlign w:val="center"/>
          </w:tcPr>
          <w:p w14:paraId="0FD88EB4" w14:textId="77777777" w:rsidR="00B453CB" w:rsidRPr="00772B7C" w:rsidRDefault="000A2A1C" w:rsidP="00772B7C">
            <w:pPr>
              <w:pStyle w:val="BlockText"/>
              <w:spacing w:after="120" w:line="240" w:lineRule="exact"/>
              <w:rPr>
                <w:rFonts w:cs="Arial"/>
                <w:sz w:val="22"/>
                <w:szCs w:val="22"/>
              </w:rPr>
            </w:pPr>
            <w:r w:rsidRPr="00772B7C">
              <w:rPr>
                <w:rFonts w:cs="Arial"/>
                <w:sz w:val="22"/>
                <w:szCs w:val="22"/>
              </w:rPr>
              <w:t xml:space="preserve">A departmental verifier for intellectual disability is a </w:t>
            </w:r>
            <w:r w:rsidR="001A0AF5" w:rsidRPr="00772B7C">
              <w:rPr>
                <w:rFonts w:cs="Arial"/>
                <w:sz w:val="22"/>
                <w:szCs w:val="22"/>
              </w:rPr>
              <w:t>person employed by the department who must be a registered teacher and a registered psychologist.</w:t>
            </w:r>
          </w:p>
        </w:tc>
      </w:tr>
      <w:tr w:rsidR="001825EB" w:rsidRPr="00772B7C" w14:paraId="733A3F1D" w14:textId="77777777" w:rsidTr="00FB1941">
        <w:tc>
          <w:tcPr>
            <w:tcW w:w="2195" w:type="dxa"/>
            <w:shd w:val="clear" w:color="auto" w:fill="auto"/>
          </w:tcPr>
          <w:p w14:paraId="1FE3317D" w14:textId="77777777" w:rsidR="001825EB" w:rsidRPr="00772B7C" w:rsidRDefault="001825EB" w:rsidP="00772B7C">
            <w:pPr>
              <w:pStyle w:val="BlockText"/>
              <w:spacing w:after="120" w:line="240" w:lineRule="exact"/>
              <w:ind w:right="0"/>
              <w:rPr>
                <w:rFonts w:cs="Arial"/>
                <w:sz w:val="22"/>
                <w:szCs w:val="22"/>
              </w:rPr>
            </w:pPr>
            <w:r w:rsidRPr="00772B7C">
              <w:rPr>
                <w:rFonts w:cs="Arial"/>
                <w:sz w:val="22"/>
                <w:szCs w:val="22"/>
              </w:rPr>
              <w:t>Verification</w:t>
            </w:r>
          </w:p>
        </w:tc>
        <w:tc>
          <w:tcPr>
            <w:tcW w:w="6815" w:type="dxa"/>
            <w:shd w:val="clear" w:color="auto" w:fill="auto"/>
            <w:vAlign w:val="center"/>
          </w:tcPr>
          <w:p w14:paraId="69EE3A2A" w14:textId="4D1F2EEE" w:rsidR="001825EB" w:rsidRPr="00772B7C" w:rsidRDefault="001825EB" w:rsidP="00772B7C">
            <w:pPr>
              <w:spacing w:line="240" w:lineRule="exact"/>
              <w:rPr>
                <w:rFonts w:eastAsia="Times" w:cs="Arial"/>
                <w:szCs w:val="22"/>
                <w:lang w:eastAsia="en-AU"/>
              </w:rPr>
            </w:pPr>
            <w:r w:rsidRPr="00772B7C">
              <w:rPr>
                <w:rFonts w:eastAsia="Times" w:cs="Arial"/>
                <w:b/>
                <w:szCs w:val="22"/>
                <w:lang w:eastAsia="en-AU"/>
              </w:rPr>
              <w:t>Verification</w:t>
            </w:r>
            <w:r w:rsidRPr="00772B7C">
              <w:rPr>
                <w:rFonts w:eastAsia="Times" w:cs="Arial"/>
                <w:szCs w:val="22"/>
                <w:lang w:eastAsia="en-AU"/>
              </w:rPr>
              <w:t xml:space="preserve"> is the process </w:t>
            </w:r>
            <w:r w:rsidR="004C7892" w:rsidRPr="00772B7C">
              <w:rPr>
                <w:rFonts w:eastAsia="Times" w:cs="Arial"/>
                <w:szCs w:val="22"/>
                <w:lang w:eastAsia="en-AU"/>
              </w:rPr>
              <w:t xml:space="preserve">for </w:t>
            </w:r>
            <w:r w:rsidRPr="00772B7C">
              <w:rPr>
                <w:rFonts w:eastAsia="Times" w:cs="Arial"/>
                <w:szCs w:val="22"/>
                <w:lang w:eastAsia="en-AU"/>
              </w:rPr>
              <w:t>confirming that a</w:t>
            </w:r>
            <w:r w:rsidR="00E57FC7" w:rsidRPr="00772B7C">
              <w:rPr>
                <w:rFonts w:eastAsia="Times" w:cs="Arial"/>
                <w:szCs w:val="22"/>
                <w:lang w:eastAsia="en-AU"/>
              </w:rPr>
              <w:t xml:space="preserve"> student</w:t>
            </w:r>
            <w:r w:rsidRPr="00772B7C">
              <w:rPr>
                <w:rFonts w:eastAsia="Times" w:cs="Arial"/>
                <w:szCs w:val="22"/>
                <w:lang w:eastAsia="en-AU"/>
              </w:rPr>
              <w:t xml:space="preserve"> </w:t>
            </w:r>
            <w:r w:rsidR="004C7892" w:rsidRPr="00772B7C">
              <w:rPr>
                <w:rFonts w:eastAsia="Times" w:cs="Arial"/>
                <w:szCs w:val="22"/>
                <w:lang w:eastAsia="en-AU"/>
              </w:rPr>
              <w:t xml:space="preserve">meets criteria in the Education Adjustment Program and that the </w:t>
            </w:r>
            <w:r w:rsidRPr="00772B7C">
              <w:rPr>
                <w:rFonts w:eastAsia="Times" w:cs="Arial"/>
                <w:szCs w:val="22"/>
                <w:lang w:eastAsia="en-AU"/>
              </w:rPr>
              <w:t xml:space="preserve">student's identified impairment and the associated activity limitations and participation restrictions </w:t>
            </w:r>
            <w:r w:rsidR="004C7892" w:rsidRPr="00772B7C">
              <w:rPr>
                <w:rFonts w:eastAsia="Times" w:cs="Arial"/>
                <w:szCs w:val="22"/>
                <w:lang w:eastAsia="en-AU"/>
              </w:rPr>
              <w:t xml:space="preserve">require </w:t>
            </w:r>
            <w:r w:rsidRPr="00772B7C">
              <w:rPr>
                <w:rFonts w:eastAsia="Times" w:cs="Arial"/>
                <w:szCs w:val="22"/>
                <w:lang w:eastAsia="en-AU"/>
              </w:rPr>
              <w:t>significant education adjustments</w:t>
            </w:r>
            <w:r w:rsidR="004C7892" w:rsidRPr="00772B7C">
              <w:rPr>
                <w:rFonts w:eastAsia="Times" w:cs="Arial"/>
                <w:szCs w:val="22"/>
                <w:lang w:eastAsia="en-AU"/>
              </w:rPr>
              <w:t>.</w:t>
            </w:r>
            <w:r w:rsidRPr="00772B7C">
              <w:rPr>
                <w:rFonts w:eastAsia="Times" w:cs="Arial"/>
                <w:szCs w:val="22"/>
                <w:lang w:eastAsia="en-AU"/>
              </w:rPr>
              <w:t xml:space="preserve"> </w:t>
            </w:r>
          </w:p>
        </w:tc>
      </w:tr>
      <w:tr w:rsidR="001825EB" w:rsidRPr="00772B7C" w14:paraId="07DF3CA9" w14:textId="77777777" w:rsidTr="00FB1941">
        <w:tc>
          <w:tcPr>
            <w:tcW w:w="2195" w:type="dxa"/>
            <w:shd w:val="clear" w:color="auto" w:fill="auto"/>
          </w:tcPr>
          <w:p w14:paraId="1C941DEB" w14:textId="77777777" w:rsidR="001825EB" w:rsidRPr="00772B7C" w:rsidRDefault="001825EB" w:rsidP="00772B7C">
            <w:pPr>
              <w:pStyle w:val="BlockText"/>
              <w:spacing w:after="120" w:line="240" w:lineRule="exact"/>
              <w:ind w:right="0"/>
              <w:rPr>
                <w:rFonts w:cs="Arial"/>
                <w:sz w:val="22"/>
                <w:szCs w:val="22"/>
              </w:rPr>
            </w:pPr>
            <w:r w:rsidRPr="00772B7C">
              <w:rPr>
                <w:rFonts w:cs="Arial"/>
                <w:sz w:val="22"/>
                <w:szCs w:val="22"/>
              </w:rPr>
              <w:t>Education Adjustment Program</w:t>
            </w:r>
          </w:p>
        </w:tc>
        <w:tc>
          <w:tcPr>
            <w:tcW w:w="6815" w:type="dxa"/>
            <w:shd w:val="clear" w:color="auto" w:fill="auto"/>
            <w:vAlign w:val="center"/>
          </w:tcPr>
          <w:p w14:paraId="794C86E0" w14:textId="15F2E4EF" w:rsidR="001825EB" w:rsidRPr="00772B7C" w:rsidRDefault="001825EB" w:rsidP="0084776B">
            <w:pPr>
              <w:pStyle w:val="Default"/>
              <w:spacing w:after="120" w:line="240" w:lineRule="exact"/>
              <w:rPr>
                <w:rFonts w:eastAsia="Times"/>
                <w:color w:val="auto"/>
                <w:sz w:val="22"/>
                <w:szCs w:val="22"/>
                <w:lang w:eastAsia="en-AU"/>
              </w:rPr>
            </w:pPr>
            <w:r w:rsidRPr="00772B7C">
              <w:rPr>
                <w:rFonts w:eastAsia="Times"/>
                <w:color w:val="auto"/>
                <w:sz w:val="22"/>
                <w:szCs w:val="22"/>
                <w:lang w:eastAsia="en-AU"/>
              </w:rPr>
              <w:t xml:space="preserve">The </w:t>
            </w:r>
            <w:r w:rsidRPr="00772B7C">
              <w:rPr>
                <w:rFonts w:eastAsia="Times"/>
                <w:b/>
                <w:color w:val="auto"/>
                <w:sz w:val="22"/>
                <w:szCs w:val="22"/>
                <w:lang w:eastAsia="en-AU"/>
              </w:rPr>
              <w:t>Education Adjustment Program</w:t>
            </w:r>
            <w:r w:rsidRPr="00772B7C">
              <w:rPr>
                <w:rFonts w:eastAsia="Times"/>
                <w:color w:val="auto"/>
                <w:sz w:val="22"/>
                <w:szCs w:val="22"/>
                <w:lang w:eastAsia="en-AU"/>
              </w:rPr>
              <w:t xml:space="preserve"> is a targeted program for identifying and responding to the educational needs of students with disability who require significant education adjustments related to the specific</w:t>
            </w:r>
            <w:r w:rsidR="004C7892" w:rsidRPr="00772B7C">
              <w:rPr>
                <w:rFonts w:eastAsia="Times"/>
                <w:color w:val="auto"/>
                <w:sz w:val="22"/>
                <w:szCs w:val="22"/>
                <w:lang w:eastAsia="en-AU"/>
              </w:rPr>
              <w:t xml:space="preserve"> following disabilities</w:t>
            </w:r>
            <w:r w:rsidRPr="00772B7C">
              <w:rPr>
                <w:rFonts w:eastAsia="Times"/>
                <w:color w:val="auto"/>
                <w:sz w:val="22"/>
                <w:szCs w:val="22"/>
                <w:lang w:eastAsia="en-AU"/>
              </w:rPr>
              <w:t xml:space="preserve">: Autism Spectrum Disorder; Hearing Impairment; Intellectual Disability; Physical Impairment; Speech-Language Impairment; and Vision Impairment. </w:t>
            </w:r>
          </w:p>
        </w:tc>
      </w:tr>
    </w:tbl>
    <w:p w14:paraId="1A26C77C" w14:textId="77777777" w:rsidR="00B453CB" w:rsidRDefault="00B453CB" w:rsidP="00E42861">
      <w:pPr>
        <w:pStyle w:val="Heading2"/>
      </w:pPr>
      <w:r>
        <w:t>Legislation</w:t>
      </w:r>
    </w:p>
    <w:p w14:paraId="5CBF9A57" w14:textId="2D7FFC83" w:rsidR="00B453CB" w:rsidRPr="001213B4" w:rsidRDefault="00B3320B" w:rsidP="00B453CB">
      <w:pPr>
        <w:numPr>
          <w:ilvl w:val="0"/>
          <w:numId w:val="4"/>
        </w:numPr>
        <w:rPr>
          <w:rStyle w:val="Hyperlink"/>
          <w:i/>
          <w:color w:val="auto"/>
          <w:u w:val="none"/>
        </w:rPr>
      </w:pPr>
      <w:hyperlink r:id="rId13" w:history="1">
        <w:r w:rsidR="004D4C77" w:rsidRPr="004D4C77">
          <w:rPr>
            <w:rStyle w:val="Hyperlink"/>
            <w:i/>
          </w:rPr>
          <w:t>Education</w:t>
        </w:r>
        <w:r w:rsidR="00B6742C" w:rsidRPr="004D4C77">
          <w:rPr>
            <w:rStyle w:val="Hyperlink"/>
            <w:i/>
          </w:rPr>
          <w:t xml:space="preserve"> (General Provisions) Act 2006</w:t>
        </w:r>
        <w:r w:rsidR="0061711E" w:rsidRPr="004D4C77">
          <w:rPr>
            <w:rStyle w:val="Hyperlink"/>
            <w:i/>
          </w:rPr>
          <w:t xml:space="preserve"> </w:t>
        </w:r>
        <w:r w:rsidR="0061711E" w:rsidRPr="004D4C77">
          <w:rPr>
            <w:rStyle w:val="Hyperlink"/>
          </w:rPr>
          <w:t>(Qld)</w:t>
        </w:r>
      </w:hyperlink>
    </w:p>
    <w:p w14:paraId="43004467" w14:textId="57C14F4F" w:rsidR="0084776B" w:rsidRPr="00A62E71" w:rsidRDefault="004917D7" w:rsidP="00B453CB">
      <w:pPr>
        <w:numPr>
          <w:ilvl w:val="0"/>
          <w:numId w:val="4"/>
        </w:numPr>
        <w:rPr>
          <w:rStyle w:val="Hyperlink"/>
          <w:i/>
          <w:color w:val="auto"/>
          <w:u w:val="none"/>
        </w:rPr>
      </w:pPr>
      <w:hyperlink r:id="rId14" w:history="1">
        <w:r w:rsidR="0084776B" w:rsidRPr="004917D7">
          <w:rPr>
            <w:rStyle w:val="Hyperlink"/>
            <w:i/>
          </w:rPr>
          <w:t>Education (General Provisions) Regulation 2017</w:t>
        </w:r>
        <w:r w:rsidR="0084776B" w:rsidRPr="004917D7">
          <w:rPr>
            <w:rStyle w:val="Hyperlink"/>
          </w:rPr>
          <w:t xml:space="preserve"> (Qld)</w:t>
        </w:r>
      </w:hyperlink>
    </w:p>
    <w:p w14:paraId="27D4FBF5" w14:textId="031018F1" w:rsidR="00A62E71" w:rsidRPr="00A62E71" w:rsidRDefault="00B3320B" w:rsidP="00B453CB">
      <w:pPr>
        <w:numPr>
          <w:ilvl w:val="0"/>
          <w:numId w:val="4"/>
        </w:numPr>
        <w:rPr>
          <w:rStyle w:val="Hyperlink"/>
          <w:color w:val="auto"/>
        </w:rPr>
      </w:pPr>
      <w:hyperlink r:id="rId15" w:history="1">
        <w:r w:rsidR="00A62E71" w:rsidRPr="004D4C77">
          <w:rPr>
            <w:rStyle w:val="Hyperlink"/>
            <w:i/>
          </w:rPr>
          <w:t>Anti-Discrimination Act 1991</w:t>
        </w:r>
        <w:r w:rsidR="00A62E71" w:rsidRPr="004D4C77">
          <w:rPr>
            <w:rStyle w:val="Hyperlink"/>
          </w:rPr>
          <w:t xml:space="preserve"> (Qld)</w:t>
        </w:r>
      </w:hyperlink>
    </w:p>
    <w:p w14:paraId="43E8615C" w14:textId="47DB4942" w:rsidR="0061711E" w:rsidRPr="0084776B" w:rsidRDefault="00B3320B" w:rsidP="00B453CB">
      <w:pPr>
        <w:numPr>
          <w:ilvl w:val="0"/>
          <w:numId w:val="4"/>
        </w:numPr>
        <w:rPr>
          <w:rStyle w:val="Hyperlink"/>
          <w:color w:val="auto"/>
        </w:rPr>
      </w:pPr>
      <w:hyperlink r:id="rId16" w:history="1">
        <w:r w:rsidR="0061711E" w:rsidRPr="004D4C77">
          <w:rPr>
            <w:rStyle w:val="Hyperlink"/>
            <w:i/>
          </w:rPr>
          <w:t xml:space="preserve">Disability Discrimination Act 1992 </w:t>
        </w:r>
        <w:r w:rsidR="0061711E" w:rsidRPr="004D4C77">
          <w:rPr>
            <w:rStyle w:val="Hyperlink"/>
          </w:rPr>
          <w:t>(Cw</w:t>
        </w:r>
        <w:r w:rsidR="00690CF7">
          <w:rPr>
            <w:rStyle w:val="Hyperlink"/>
          </w:rPr>
          <w:t>l</w:t>
        </w:r>
        <w:r w:rsidR="0061711E" w:rsidRPr="004D4C77">
          <w:rPr>
            <w:rStyle w:val="Hyperlink"/>
          </w:rPr>
          <w:t>th)</w:t>
        </w:r>
      </w:hyperlink>
    </w:p>
    <w:p w14:paraId="137D5BE4" w14:textId="4AC0E51C" w:rsidR="00690CF7" w:rsidRPr="00A62E71" w:rsidRDefault="004917D7" w:rsidP="00B453CB">
      <w:pPr>
        <w:numPr>
          <w:ilvl w:val="0"/>
          <w:numId w:val="4"/>
        </w:numPr>
        <w:rPr>
          <w:u w:val="single"/>
        </w:rPr>
      </w:pPr>
      <w:hyperlink r:id="rId17" w:history="1">
        <w:r w:rsidR="00690CF7" w:rsidRPr="004917D7">
          <w:rPr>
            <w:rStyle w:val="Hyperlink"/>
            <w:i/>
          </w:rPr>
          <w:t xml:space="preserve">Disability Standards for Education 2005 </w:t>
        </w:r>
        <w:r w:rsidR="00690CF7" w:rsidRPr="004917D7">
          <w:rPr>
            <w:rStyle w:val="Hyperlink"/>
          </w:rPr>
          <w:t>(Cwlth)</w:t>
        </w:r>
      </w:hyperlink>
    </w:p>
    <w:p w14:paraId="3D90E195" w14:textId="77777777" w:rsidR="00B453CB" w:rsidRDefault="00B453CB" w:rsidP="00E42861">
      <w:pPr>
        <w:pStyle w:val="Heading2"/>
      </w:pPr>
      <w:r>
        <w:t>Delegations/Authorisations</w:t>
      </w:r>
    </w:p>
    <w:p w14:paraId="7A2AF322" w14:textId="0F23EBD1" w:rsidR="006D2D57" w:rsidRPr="00527B6A" w:rsidRDefault="00527B6A" w:rsidP="00C42D9C">
      <w:pPr>
        <w:numPr>
          <w:ilvl w:val="0"/>
          <w:numId w:val="5"/>
        </w:numPr>
        <w:rPr>
          <w:rStyle w:val="Hyperlink"/>
        </w:rPr>
      </w:pPr>
      <w:r>
        <w:rPr>
          <w:rStyle w:val="Hyperlink"/>
        </w:rPr>
        <w:fldChar w:fldCharType="begin"/>
      </w:r>
      <w:r w:rsidR="00EA7211">
        <w:rPr>
          <w:rStyle w:val="Hyperlink"/>
        </w:rPr>
        <w:instrText>HYPERLINK "https://ppr.qed.qld.gov.au/delegation/education-general-provisions-act-2006-director-general-delegations.pdf"</w:instrText>
      </w:r>
      <w:r>
        <w:rPr>
          <w:rStyle w:val="Hyperlink"/>
        </w:rPr>
        <w:fldChar w:fldCharType="separate"/>
      </w:r>
      <w:r w:rsidR="00C42D9C" w:rsidRPr="00527B6A">
        <w:rPr>
          <w:rStyle w:val="Hyperlink"/>
        </w:rPr>
        <w:t>Legislative Delegations – Delegation of Director-General’s Powers</w:t>
      </w:r>
    </w:p>
    <w:p w14:paraId="727E986A" w14:textId="4F4D7F48" w:rsidR="00B453CB" w:rsidRDefault="00527B6A" w:rsidP="00E42861">
      <w:pPr>
        <w:pStyle w:val="Heading2"/>
      </w:pPr>
      <w:r>
        <w:rPr>
          <w:rStyle w:val="Hyperlink"/>
          <w:rFonts w:cstheme="minorBidi"/>
          <w:bCs w:val="0"/>
          <w:sz w:val="22"/>
          <w:szCs w:val="24"/>
        </w:rPr>
        <w:fldChar w:fldCharType="end"/>
      </w:r>
      <w:r w:rsidR="00B453CB">
        <w:t>Related policies</w:t>
      </w:r>
    </w:p>
    <w:p w14:paraId="7DAA0846" w14:textId="5529F450" w:rsidR="00B73C06" w:rsidRPr="00B453CB" w:rsidRDefault="00B3320B" w:rsidP="00B73C06">
      <w:pPr>
        <w:numPr>
          <w:ilvl w:val="0"/>
          <w:numId w:val="4"/>
        </w:numPr>
      </w:pPr>
      <w:hyperlink r:id="rId18" w:history="1">
        <w:r w:rsidR="00B73C06" w:rsidRPr="00527B6A">
          <w:rPr>
            <w:rStyle w:val="Hyperlink"/>
          </w:rPr>
          <w:t>Advancing education – An action plan for education in Queensland</w:t>
        </w:r>
      </w:hyperlink>
    </w:p>
    <w:p w14:paraId="7F0C69AD" w14:textId="652D54DA" w:rsidR="00B73C06" w:rsidRDefault="00B3320B" w:rsidP="00B73C06">
      <w:pPr>
        <w:numPr>
          <w:ilvl w:val="0"/>
          <w:numId w:val="4"/>
        </w:numPr>
      </w:pPr>
      <w:hyperlink r:id="rId19" w:history="1">
        <w:r w:rsidR="0061711E" w:rsidRPr="00A507BA">
          <w:rPr>
            <w:rStyle w:val="Hyperlink"/>
          </w:rPr>
          <w:t>State School</w:t>
        </w:r>
        <w:r w:rsidR="00A507BA" w:rsidRPr="00A507BA">
          <w:rPr>
            <w:rStyle w:val="Hyperlink"/>
          </w:rPr>
          <w:t xml:space="preserve"> Improvement </w:t>
        </w:r>
        <w:r w:rsidR="0061711E" w:rsidRPr="00A507BA">
          <w:rPr>
            <w:rStyle w:val="Hyperlink"/>
          </w:rPr>
          <w:t>Strategy 202</w:t>
        </w:r>
        <w:r w:rsidR="00A507BA" w:rsidRPr="00A507BA">
          <w:rPr>
            <w:rStyle w:val="Hyperlink"/>
          </w:rPr>
          <w:t>1-2025: Every student succeeding</w:t>
        </w:r>
      </w:hyperlink>
    </w:p>
    <w:p w14:paraId="1A3F029E" w14:textId="53A96860" w:rsidR="00B73C06" w:rsidRPr="00B453CB" w:rsidRDefault="000B6EAA" w:rsidP="00B73C06">
      <w:pPr>
        <w:numPr>
          <w:ilvl w:val="0"/>
          <w:numId w:val="4"/>
        </w:numPr>
      </w:pPr>
      <w:hyperlink r:id="rId20" w:history="1">
        <w:r w:rsidR="00B73C06" w:rsidRPr="00527B6A">
          <w:rPr>
            <w:rStyle w:val="Hyperlink"/>
          </w:rPr>
          <w:t>Every student with disability succeeding plan</w:t>
        </w:r>
      </w:hyperlink>
    </w:p>
    <w:p w14:paraId="7DB9FC79" w14:textId="06DA392F" w:rsidR="00B73C06" w:rsidRPr="00A507BA" w:rsidRDefault="000B6EAA" w:rsidP="00B73C06">
      <w:pPr>
        <w:numPr>
          <w:ilvl w:val="0"/>
          <w:numId w:val="4"/>
        </w:numPr>
        <w:rPr>
          <w:rStyle w:val="Hyperlink"/>
        </w:rPr>
      </w:pPr>
      <w:hyperlink r:id="rId21" w:history="1">
        <w:r w:rsidR="00B73C06" w:rsidRPr="00A507BA">
          <w:rPr>
            <w:rStyle w:val="Hyperlink"/>
          </w:rPr>
          <w:t>Inclusive education policy</w:t>
        </w:r>
      </w:hyperlink>
    </w:p>
    <w:p w14:paraId="63179DF9" w14:textId="69653A01" w:rsidR="00B453CB" w:rsidRPr="00A507BA" w:rsidRDefault="00B3320B" w:rsidP="00B453CB">
      <w:pPr>
        <w:numPr>
          <w:ilvl w:val="0"/>
          <w:numId w:val="4"/>
        </w:numPr>
        <w:rPr>
          <w:rStyle w:val="Hyperlink"/>
        </w:rPr>
      </w:pPr>
      <w:hyperlink r:id="rId22" w:history="1">
        <w:r w:rsidR="0061711E" w:rsidRPr="004917D7">
          <w:rPr>
            <w:rStyle w:val="Hyperlink"/>
          </w:rPr>
          <w:t xml:space="preserve">Department of Education </w:t>
        </w:r>
        <w:r w:rsidR="00B453CB" w:rsidRPr="004917D7">
          <w:rPr>
            <w:rStyle w:val="Hyperlink"/>
          </w:rPr>
          <w:t>Strategic Plan</w:t>
        </w:r>
        <w:r w:rsidR="0061711E" w:rsidRPr="004917D7">
          <w:rPr>
            <w:rStyle w:val="Hyperlink"/>
          </w:rPr>
          <w:t xml:space="preserve"> </w:t>
        </w:r>
        <w:r w:rsidR="00A507BA" w:rsidRPr="004917D7">
          <w:rPr>
            <w:rStyle w:val="Hyperlink"/>
          </w:rPr>
          <w:t>202</w:t>
        </w:r>
        <w:r w:rsidR="004917D7" w:rsidRPr="004917D7">
          <w:rPr>
            <w:rStyle w:val="Hyperlink"/>
          </w:rPr>
          <w:t>1</w:t>
        </w:r>
        <w:r w:rsidR="00A507BA" w:rsidRPr="004917D7">
          <w:rPr>
            <w:rStyle w:val="Hyperlink"/>
          </w:rPr>
          <w:t>-202</w:t>
        </w:r>
        <w:r w:rsidR="004917D7" w:rsidRPr="004917D7">
          <w:rPr>
            <w:rStyle w:val="Hyperlink"/>
          </w:rPr>
          <w:t>5</w:t>
        </w:r>
      </w:hyperlink>
    </w:p>
    <w:p w14:paraId="1C144894" w14:textId="1C4725A6" w:rsidR="00B453CB" w:rsidRDefault="00B453CB" w:rsidP="00E42861">
      <w:pPr>
        <w:pStyle w:val="Heading2"/>
      </w:pPr>
      <w:r>
        <w:t>Related procedures</w:t>
      </w:r>
    </w:p>
    <w:p w14:paraId="71FBFE63" w14:textId="07E94392" w:rsidR="00E20A42" w:rsidRPr="00E20A42" w:rsidRDefault="00B3320B" w:rsidP="002C2B3D">
      <w:pPr>
        <w:numPr>
          <w:ilvl w:val="0"/>
          <w:numId w:val="4"/>
        </w:numPr>
        <w:rPr>
          <w:rStyle w:val="Hyperlink"/>
          <w:color w:val="auto"/>
          <w:u w:val="none"/>
        </w:rPr>
      </w:pPr>
      <w:hyperlink r:id="rId23" w:history="1">
        <w:r w:rsidR="00B453CB" w:rsidRPr="00A507BA">
          <w:rPr>
            <w:rStyle w:val="Hyperlink"/>
          </w:rPr>
          <w:t>Enrolment in state primary, secondary and special schools</w:t>
        </w:r>
      </w:hyperlink>
    </w:p>
    <w:p w14:paraId="5008B81D" w14:textId="5AEC6EA5" w:rsidR="002C2B3D" w:rsidRDefault="00B3320B" w:rsidP="002C2B3D">
      <w:pPr>
        <w:numPr>
          <w:ilvl w:val="0"/>
          <w:numId w:val="4"/>
        </w:numPr>
      </w:pPr>
      <w:hyperlink r:id="rId24" w:history="1">
        <w:r w:rsidR="00E20A42" w:rsidRPr="003F6355">
          <w:rPr>
            <w:rStyle w:val="Hyperlink"/>
          </w:rPr>
          <w:t>State special school enrolment (additional requirements)</w:t>
        </w:r>
      </w:hyperlink>
      <w:r w:rsidR="00B453CB" w:rsidRPr="00B453CB">
        <w:t xml:space="preserve"> </w:t>
      </w:r>
    </w:p>
    <w:p w14:paraId="6E3675F8" w14:textId="52601A30" w:rsidR="00527B6A" w:rsidRPr="00575CCA" w:rsidRDefault="00B3320B" w:rsidP="00527B6A">
      <w:pPr>
        <w:numPr>
          <w:ilvl w:val="0"/>
          <w:numId w:val="4"/>
        </w:numPr>
        <w:rPr>
          <w:rStyle w:val="Hyperlink"/>
          <w:rFonts w:cs="Arial"/>
          <w:szCs w:val="22"/>
        </w:rPr>
      </w:pPr>
      <w:hyperlink r:id="rId25" w:history="1">
        <w:r w:rsidR="00527B6A" w:rsidRPr="003F6355">
          <w:rPr>
            <w:rStyle w:val="Hyperlink"/>
            <w:rFonts w:cs="Arial"/>
            <w:szCs w:val="22"/>
          </w:rPr>
          <w:t>Managing students' health support needs at school</w:t>
        </w:r>
      </w:hyperlink>
    </w:p>
    <w:p w14:paraId="1152B165" w14:textId="48668E70" w:rsidR="002C2B3D" w:rsidRPr="00527B6A" w:rsidRDefault="00B3320B" w:rsidP="00527B6A">
      <w:pPr>
        <w:numPr>
          <w:ilvl w:val="0"/>
          <w:numId w:val="4"/>
        </w:numPr>
        <w:rPr>
          <w:rFonts w:cs="Arial"/>
          <w:szCs w:val="22"/>
        </w:rPr>
      </w:pPr>
      <w:hyperlink r:id="rId26" w:history="1">
        <w:r w:rsidR="00527B6A" w:rsidRPr="003F6355">
          <w:rPr>
            <w:rStyle w:val="Hyperlink"/>
            <w:rFonts w:cs="Arial"/>
            <w:szCs w:val="22"/>
          </w:rPr>
          <w:t>Supporting students with asthma and/or at risk of anaphylaxis at school</w:t>
        </w:r>
      </w:hyperlink>
    </w:p>
    <w:p w14:paraId="3764B08A" w14:textId="77777777" w:rsidR="00B453CB" w:rsidRDefault="00B453CB" w:rsidP="00E42861">
      <w:pPr>
        <w:pStyle w:val="Heading2"/>
      </w:pPr>
      <w:r>
        <w:t>Guidelines</w:t>
      </w:r>
    </w:p>
    <w:p w14:paraId="23E8F31F" w14:textId="1898B301" w:rsidR="00E20A42" w:rsidRDefault="00B3320B" w:rsidP="00FB0C9F">
      <w:pPr>
        <w:numPr>
          <w:ilvl w:val="0"/>
          <w:numId w:val="6"/>
        </w:numPr>
        <w:rPr>
          <w:rStyle w:val="Hyperlink"/>
        </w:rPr>
      </w:pPr>
      <w:hyperlink r:id="rId27" w:history="1">
        <w:r w:rsidR="00E20A42" w:rsidRPr="00A507BA">
          <w:rPr>
            <w:rStyle w:val="Hyperlink"/>
          </w:rPr>
          <w:t>Special school enrolment decision</w:t>
        </w:r>
        <w:r w:rsidR="00FB0C9F" w:rsidRPr="00A507BA">
          <w:rPr>
            <w:rStyle w:val="Hyperlink"/>
          </w:rPr>
          <w:t>-</w:t>
        </w:r>
        <w:r w:rsidR="00E20A42" w:rsidRPr="00A507BA">
          <w:rPr>
            <w:rStyle w:val="Hyperlink"/>
          </w:rPr>
          <w:t>making guidelines</w:t>
        </w:r>
      </w:hyperlink>
    </w:p>
    <w:p w14:paraId="44066135" w14:textId="705805BA" w:rsidR="00B440E9" w:rsidRDefault="00B3320B" w:rsidP="0072682C">
      <w:pPr>
        <w:numPr>
          <w:ilvl w:val="0"/>
          <w:numId w:val="6"/>
        </w:numPr>
        <w:rPr>
          <w:rStyle w:val="Hyperlink"/>
        </w:rPr>
      </w:pPr>
      <w:hyperlink r:id="rId28" w:history="1">
        <w:r w:rsidR="00B440E9" w:rsidRPr="00A507BA">
          <w:rPr>
            <w:rStyle w:val="Hyperlink"/>
          </w:rPr>
          <w:t>P-12 curriculum, assessment and reporting framework</w:t>
        </w:r>
      </w:hyperlink>
    </w:p>
    <w:p w14:paraId="328215CE" w14:textId="2BAEFB42" w:rsidR="00B453CB" w:rsidRPr="005B48D0" w:rsidRDefault="00B3320B" w:rsidP="00E047BF">
      <w:pPr>
        <w:numPr>
          <w:ilvl w:val="0"/>
          <w:numId w:val="6"/>
        </w:numPr>
        <w:rPr>
          <w:rStyle w:val="Hyperlink"/>
        </w:rPr>
      </w:pPr>
      <w:hyperlink r:id="rId29" w:history="1">
        <w:r w:rsidR="00B453CB" w:rsidRPr="00A507BA">
          <w:rPr>
            <w:rStyle w:val="Hyperlink"/>
          </w:rPr>
          <w:t>Parent and community engagement framework</w:t>
        </w:r>
      </w:hyperlink>
    </w:p>
    <w:p w14:paraId="438B57E0" w14:textId="2CAA57A6" w:rsidR="00B453CB" w:rsidRPr="005B48D0" w:rsidRDefault="00B3320B" w:rsidP="00E047BF">
      <w:pPr>
        <w:numPr>
          <w:ilvl w:val="0"/>
          <w:numId w:val="6"/>
        </w:numPr>
        <w:rPr>
          <w:rStyle w:val="Hyperlink"/>
        </w:rPr>
      </w:pPr>
      <w:hyperlink r:id="rId30" w:history="1">
        <w:r w:rsidR="00B453CB" w:rsidRPr="00B440E9">
          <w:rPr>
            <w:rStyle w:val="Hyperlink"/>
          </w:rPr>
          <w:t>Student Learning and Wellbeing Framework</w:t>
        </w:r>
      </w:hyperlink>
    </w:p>
    <w:p w14:paraId="53B7169F" w14:textId="77777777" w:rsidR="00B453CB" w:rsidRDefault="00B453CB" w:rsidP="00B453CB">
      <w:pPr>
        <w:pStyle w:val="Heading2"/>
      </w:pPr>
      <w:r>
        <w:t>Supporting information/websites</w:t>
      </w:r>
    </w:p>
    <w:p w14:paraId="58635826" w14:textId="7A93DEBD" w:rsidR="002C2B3D" w:rsidRDefault="00B3320B" w:rsidP="00FA0831">
      <w:pPr>
        <w:numPr>
          <w:ilvl w:val="0"/>
          <w:numId w:val="4"/>
        </w:numPr>
        <w:rPr>
          <w:rStyle w:val="Hyperlink"/>
        </w:rPr>
      </w:pPr>
      <w:hyperlink r:id="rId31" w:history="1">
        <w:r w:rsidR="00C025C1" w:rsidRPr="003F6355">
          <w:rPr>
            <w:rStyle w:val="Hyperlink"/>
          </w:rPr>
          <w:t>Parent/carer factsheet – Queensland state special schools</w:t>
        </w:r>
      </w:hyperlink>
    </w:p>
    <w:p w14:paraId="31EBC155" w14:textId="2C4E92BD" w:rsidR="00FA0831" w:rsidRPr="00FB0C9F" w:rsidRDefault="004917D7" w:rsidP="00FA0831">
      <w:pPr>
        <w:numPr>
          <w:ilvl w:val="0"/>
          <w:numId w:val="4"/>
        </w:numPr>
        <w:rPr>
          <w:rStyle w:val="Hyperlink"/>
        </w:rPr>
      </w:pPr>
      <w:hyperlink r:id="rId32" w:history="1">
        <w:r w:rsidR="00B453CB" w:rsidRPr="004917D7">
          <w:rPr>
            <w:rStyle w:val="Hyperlink"/>
          </w:rPr>
          <w:t>Inclusive education</w:t>
        </w:r>
      </w:hyperlink>
    </w:p>
    <w:p w14:paraId="34A5633C" w14:textId="52040495" w:rsidR="004D4C77" w:rsidRDefault="00B3320B" w:rsidP="00FA0831">
      <w:pPr>
        <w:numPr>
          <w:ilvl w:val="0"/>
          <w:numId w:val="4"/>
        </w:numPr>
        <w:rPr>
          <w:rStyle w:val="Hyperlink"/>
          <w:color w:val="FF0000"/>
          <w:u w:val="none"/>
        </w:rPr>
      </w:pPr>
      <w:hyperlink r:id="rId33" w:history="1">
        <w:r w:rsidR="002C2B3D" w:rsidRPr="00A507BA">
          <w:rPr>
            <w:rStyle w:val="Hyperlink"/>
          </w:rPr>
          <w:t>Queensland state s</w:t>
        </w:r>
        <w:r w:rsidR="004D4C77" w:rsidRPr="00A507BA">
          <w:rPr>
            <w:rStyle w:val="Hyperlink"/>
          </w:rPr>
          <w:t>pecial school</w:t>
        </w:r>
        <w:r w:rsidR="002C2B3D" w:rsidRPr="00A507BA">
          <w:rPr>
            <w:rStyle w:val="Hyperlink"/>
          </w:rPr>
          <w:t>s</w:t>
        </w:r>
      </w:hyperlink>
    </w:p>
    <w:p w14:paraId="5238C069" w14:textId="77777777" w:rsidR="00B453CB" w:rsidRDefault="00B453CB" w:rsidP="00B453CB">
      <w:pPr>
        <w:pStyle w:val="Heading2"/>
      </w:pPr>
      <w:r>
        <w:t>Contact</w:t>
      </w:r>
    </w:p>
    <w:p w14:paraId="663A5695" w14:textId="77777777" w:rsidR="00B453CB" w:rsidRPr="00FB1941" w:rsidRDefault="00B453CB" w:rsidP="00B453CB">
      <w:pPr>
        <w:pStyle w:val="BlockText"/>
        <w:ind w:right="0"/>
        <w:rPr>
          <w:sz w:val="22"/>
          <w:szCs w:val="22"/>
        </w:rPr>
      </w:pPr>
      <w:r w:rsidRPr="00FB1941">
        <w:rPr>
          <w:sz w:val="22"/>
          <w:szCs w:val="22"/>
        </w:rPr>
        <w:t>For further information, please contact:</w:t>
      </w:r>
    </w:p>
    <w:p w14:paraId="6718752F" w14:textId="77777777" w:rsidR="00B453CB" w:rsidRPr="00FB1941" w:rsidRDefault="00B453CB" w:rsidP="00B453CB">
      <w:pPr>
        <w:pStyle w:val="BlockText"/>
        <w:spacing w:after="80"/>
        <w:ind w:right="0"/>
        <w:rPr>
          <w:sz w:val="22"/>
          <w:szCs w:val="22"/>
        </w:rPr>
      </w:pPr>
      <w:r w:rsidRPr="00FB1941">
        <w:rPr>
          <w:sz w:val="22"/>
          <w:szCs w:val="22"/>
        </w:rPr>
        <w:t>State Schools – Disability and Inclusion Branch</w:t>
      </w:r>
    </w:p>
    <w:p w14:paraId="30546ADC" w14:textId="77777777" w:rsidR="00B453CB" w:rsidRPr="00FB1941" w:rsidRDefault="00B453CB" w:rsidP="00B453CB">
      <w:pPr>
        <w:pStyle w:val="BlockText"/>
        <w:ind w:right="0"/>
        <w:rPr>
          <w:sz w:val="22"/>
          <w:szCs w:val="22"/>
        </w:rPr>
      </w:pPr>
      <w:r w:rsidRPr="00FB1941">
        <w:rPr>
          <w:i/>
          <w:sz w:val="22"/>
          <w:szCs w:val="22"/>
        </w:rPr>
        <w:t xml:space="preserve">Email: </w:t>
      </w:r>
      <w:hyperlink r:id="rId34" w:history="1">
        <w:r w:rsidRPr="00FB1941">
          <w:rPr>
            <w:rStyle w:val="Hyperlink"/>
            <w:sz w:val="22"/>
            <w:szCs w:val="22"/>
          </w:rPr>
          <w:t>support.diversity@qed.qld.gov.au</w:t>
        </w:r>
      </w:hyperlink>
    </w:p>
    <w:p w14:paraId="08FCB68F" w14:textId="77777777" w:rsidR="00B453CB" w:rsidRDefault="00B453CB" w:rsidP="00B453CB">
      <w:pPr>
        <w:pStyle w:val="Heading2"/>
      </w:pPr>
      <w:r>
        <w:t>Creative Commons Licence</w:t>
      </w:r>
    </w:p>
    <w:p w14:paraId="61F42F17" w14:textId="77777777" w:rsidR="00B453CB" w:rsidRPr="00B453CB" w:rsidRDefault="00B453CB" w:rsidP="00B453CB">
      <w:r w:rsidRPr="006500B6">
        <w:t>Attribution CC BY</w:t>
      </w:r>
    </w:p>
    <w:p w14:paraId="6FBF6676" w14:textId="7D044F4E" w:rsidR="00323704" w:rsidRDefault="00B3320B" w:rsidP="00907963">
      <w:pPr>
        <w:rPr>
          <w:lang w:eastAsia="en-AU"/>
        </w:rPr>
      </w:pPr>
    </w:p>
    <w:p w14:paraId="296365A3" w14:textId="653EF342" w:rsidR="004917D7" w:rsidRDefault="004917D7" w:rsidP="00907963">
      <w:pPr>
        <w:rPr>
          <w:lang w:eastAsia="en-AU"/>
        </w:rPr>
      </w:pPr>
    </w:p>
    <w:p w14:paraId="64C527F4" w14:textId="77777777" w:rsidR="004917D7" w:rsidRPr="00F5000F" w:rsidRDefault="004917D7" w:rsidP="004917D7">
      <w:pPr>
        <w:rPr>
          <w:rFonts w:cs="Arial"/>
          <w:sz w:val="18"/>
          <w:szCs w:val="18"/>
        </w:rPr>
      </w:pPr>
    </w:p>
    <w:p w14:paraId="3B070B09" w14:textId="77777777" w:rsidR="004917D7" w:rsidRPr="00404BCA" w:rsidRDefault="004917D7" w:rsidP="00907963">
      <w:pPr>
        <w:rPr>
          <w:lang w:eastAsia="en-AU"/>
        </w:rPr>
      </w:pPr>
    </w:p>
    <w:sectPr w:rsidR="004917D7" w:rsidRPr="00404BCA" w:rsidSect="00FB1941">
      <w:footerReference w:type="default" r:id="rId35"/>
      <w:pgSz w:w="11900" w:h="16840"/>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6ECFF" w14:textId="77777777" w:rsidR="00B3320B" w:rsidRDefault="00B3320B" w:rsidP="00190C24">
      <w:r>
        <w:separator/>
      </w:r>
    </w:p>
  </w:endnote>
  <w:endnote w:type="continuationSeparator" w:id="0">
    <w:p w14:paraId="6486012B" w14:textId="77777777" w:rsidR="00B3320B" w:rsidRDefault="00B3320B"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s²Ó©úÅé"/>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669456"/>
      <w:docPartObj>
        <w:docPartGallery w:val="Page Numbers (Bottom of Page)"/>
        <w:docPartUnique/>
      </w:docPartObj>
    </w:sdtPr>
    <w:sdtEndPr>
      <w:rPr>
        <w:noProof/>
      </w:rPr>
    </w:sdtEndPr>
    <w:sdtContent>
      <w:p w14:paraId="2E72B473" w14:textId="21156901" w:rsidR="000F6ABE" w:rsidRDefault="000F6ABE">
        <w:pPr>
          <w:pStyle w:val="Footer"/>
        </w:pPr>
        <w:r>
          <w:rPr>
            <w:noProof/>
            <w:lang w:eastAsia="zh-TW"/>
          </w:rPr>
          <w:drawing>
            <wp:anchor distT="0" distB="0" distL="114300" distR="114300" simplePos="0" relativeHeight="251666432" behindDoc="1" locked="0" layoutInCell="1" allowOverlap="1" wp14:anchorId="52D87B6F" wp14:editId="521B30F7">
              <wp:simplePos x="0" y="0"/>
              <wp:positionH relativeFrom="column">
                <wp:posOffset>-957532</wp:posOffset>
              </wp:positionH>
              <wp:positionV relativeFrom="paragraph">
                <wp:posOffset>66699</wp:posOffset>
              </wp:positionV>
              <wp:extent cx="7567200" cy="979200"/>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80049 Disability A4 portrait footer.jpg"/>
                      <pic:cNvPicPr/>
                    </pic:nvPicPr>
                    <pic:blipFill>
                      <a:blip r:embed="rId1"/>
                      <a:stretch>
                        <a:fillRect/>
                      </a:stretch>
                    </pic:blipFill>
                    <pic:spPr>
                      <a:xfrm>
                        <a:off x="0" y="0"/>
                        <a:ext cx="7567200" cy="9792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EA7211">
          <w:rPr>
            <w:noProof/>
          </w:rPr>
          <w:t>6</w:t>
        </w:r>
        <w:r>
          <w:rPr>
            <w:noProof/>
          </w:rPr>
          <w:fldChar w:fldCharType="end"/>
        </w:r>
      </w:p>
    </w:sdtContent>
  </w:sdt>
  <w:p w14:paraId="40963534" w14:textId="5C97F6A4" w:rsidR="000F6ABE" w:rsidRDefault="000F6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FA57A" w14:textId="77777777" w:rsidR="00B3320B" w:rsidRDefault="00B3320B" w:rsidP="00190C24">
      <w:r>
        <w:separator/>
      </w:r>
    </w:p>
  </w:footnote>
  <w:footnote w:type="continuationSeparator" w:id="0">
    <w:p w14:paraId="3574A09A" w14:textId="77777777" w:rsidR="00B3320B" w:rsidRDefault="00B3320B" w:rsidP="0019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6265678"/>
    <w:multiLevelType w:val="hybridMultilevel"/>
    <w:tmpl w:val="083056C0"/>
    <w:lvl w:ilvl="0" w:tplc="E2FEABD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01455E"/>
    <w:multiLevelType w:val="hybridMultilevel"/>
    <w:tmpl w:val="B2AE71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247BFD"/>
    <w:multiLevelType w:val="hybridMultilevel"/>
    <w:tmpl w:val="C6541764"/>
    <w:lvl w:ilvl="0" w:tplc="95FE9F0E">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052C75"/>
    <w:multiLevelType w:val="hybridMultilevel"/>
    <w:tmpl w:val="816CAE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00592E"/>
    <w:multiLevelType w:val="hybridMultilevel"/>
    <w:tmpl w:val="EC3656A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2B4544E"/>
    <w:multiLevelType w:val="multilevel"/>
    <w:tmpl w:val="F7143B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37D0BDB"/>
    <w:multiLevelType w:val="multilevel"/>
    <w:tmpl w:val="EDB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44B87"/>
    <w:multiLevelType w:val="hybridMultilevel"/>
    <w:tmpl w:val="1A7AF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7B55FF"/>
    <w:multiLevelType w:val="hybridMultilevel"/>
    <w:tmpl w:val="A99EBCF2"/>
    <w:lvl w:ilvl="0" w:tplc="0C090001">
      <w:start w:val="1"/>
      <w:numFmt w:val="bullet"/>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E2325F"/>
    <w:multiLevelType w:val="hybridMultilevel"/>
    <w:tmpl w:val="F3F47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1B5A44"/>
    <w:multiLevelType w:val="hybridMultilevel"/>
    <w:tmpl w:val="360C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F0A36"/>
    <w:multiLevelType w:val="hybridMultilevel"/>
    <w:tmpl w:val="BBC4E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560F4BC6"/>
    <w:multiLevelType w:val="hybridMultilevel"/>
    <w:tmpl w:val="5A004D3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9995593"/>
    <w:multiLevelType w:val="hybridMultilevel"/>
    <w:tmpl w:val="4BC88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142C73"/>
    <w:multiLevelType w:val="multilevel"/>
    <w:tmpl w:val="C1EC1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3"/>
  </w:num>
  <w:num w:numId="3">
    <w:abstractNumId w:val="4"/>
  </w:num>
  <w:num w:numId="4">
    <w:abstractNumId w:val="3"/>
  </w:num>
  <w:num w:numId="5">
    <w:abstractNumId w:val="12"/>
  </w:num>
  <w:num w:numId="6">
    <w:abstractNumId w:val="9"/>
  </w:num>
  <w:num w:numId="7">
    <w:abstractNumId w:val="15"/>
  </w:num>
  <w:num w:numId="8">
    <w:abstractNumId w:val="6"/>
  </w:num>
  <w:num w:numId="9">
    <w:abstractNumId w:val="7"/>
  </w:num>
  <w:num w:numId="10">
    <w:abstractNumId w:val="16"/>
  </w:num>
  <w:num w:numId="11">
    <w:abstractNumId w:val="5"/>
  </w:num>
  <w:num w:numId="12">
    <w:abstractNumId w:val="14"/>
  </w:num>
  <w:num w:numId="13">
    <w:abstractNumId w:val="1"/>
  </w:num>
  <w:num w:numId="14">
    <w:abstractNumId w:val="2"/>
  </w:num>
  <w:num w:numId="15">
    <w:abstractNumId w:val="1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D5"/>
    <w:rsid w:val="00005DE2"/>
    <w:rsid w:val="0000666B"/>
    <w:rsid w:val="00007A48"/>
    <w:rsid w:val="0002155B"/>
    <w:rsid w:val="000220B2"/>
    <w:rsid w:val="00032152"/>
    <w:rsid w:val="000409E6"/>
    <w:rsid w:val="000425F7"/>
    <w:rsid w:val="000436FC"/>
    <w:rsid w:val="0005619B"/>
    <w:rsid w:val="00061640"/>
    <w:rsid w:val="00062902"/>
    <w:rsid w:val="000755A0"/>
    <w:rsid w:val="000A2A1C"/>
    <w:rsid w:val="000A41E7"/>
    <w:rsid w:val="000B61AC"/>
    <w:rsid w:val="000B6EAA"/>
    <w:rsid w:val="000C0DFC"/>
    <w:rsid w:val="000C1234"/>
    <w:rsid w:val="000F6ABE"/>
    <w:rsid w:val="000F7A39"/>
    <w:rsid w:val="000F7FA8"/>
    <w:rsid w:val="000F7FDE"/>
    <w:rsid w:val="001213B4"/>
    <w:rsid w:val="001431DC"/>
    <w:rsid w:val="001454C4"/>
    <w:rsid w:val="00172C72"/>
    <w:rsid w:val="001825EB"/>
    <w:rsid w:val="00190C24"/>
    <w:rsid w:val="001A0AF5"/>
    <w:rsid w:val="001D492E"/>
    <w:rsid w:val="001F10AA"/>
    <w:rsid w:val="00221A65"/>
    <w:rsid w:val="00224692"/>
    <w:rsid w:val="002272A7"/>
    <w:rsid w:val="0023434E"/>
    <w:rsid w:val="002371F7"/>
    <w:rsid w:val="00241128"/>
    <w:rsid w:val="00272959"/>
    <w:rsid w:val="002A264D"/>
    <w:rsid w:val="002B179D"/>
    <w:rsid w:val="002C2B3D"/>
    <w:rsid w:val="002E3C18"/>
    <w:rsid w:val="002E739E"/>
    <w:rsid w:val="002F78A2"/>
    <w:rsid w:val="0030619E"/>
    <w:rsid w:val="003205A9"/>
    <w:rsid w:val="00344C06"/>
    <w:rsid w:val="003816A0"/>
    <w:rsid w:val="00385A56"/>
    <w:rsid w:val="003E1CEB"/>
    <w:rsid w:val="003E27B4"/>
    <w:rsid w:val="003F6355"/>
    <w:rsid w:val="003F643A"/>
    <w:rsid w:val="00404BCA"/>
    <w:rsid w:val="004633A2"/>
    <w:rsid w:val="004917D7"/>
    <w:rsid w:val="00492BFF"/>
    <w:rsid w:val="00493A39"/>
    <w:rsid w:val="004C7892"/>
    <w:rsid w:val="004D4C77"/>
    <w:rsid w:val="004F5E75"/>
    <w:rsid w:val="00524282"/>
    <w:rsid w:val="00527B6A"/>
    <w:rsid w:val="005365E8"/>
    <w:rsid w:val="005B48D0"/>
    <w:rsid w:val="005C5EE2"/>
    <w:rsid w:val="005E2ACE"/>
    <w:rsid w:val="005E65D5"/>
    <w:rsid w:val="005F4331"/>
    <w:rsid w:val="0061711E"/>
    <w:rsid w:val="006239A5"/>
    <w:rsid w:val="00636B71"/>
    <w:rsid w:val="00650131"/>
    <w:rsid w:val="00690CF7"/>
    <w:rsid w:val="00692B7C"/>
    <w:rsid w:val="00693C0A"/>
    <w:rsid w:val="006C2AFF"/>
    <w:rsid w:val="006C3D8E"/>
    <w:rsid w:val="006D2D57"/>
    <w:rsid w:val="006E0C5A"/>
    <w:rsid w:val="00703446"/>
    <w:rsid w:val="00705467"/>
    <w:rsid w:val="0072682C"/>
    <w:rsid w:val="00767519"/>
    <w:rsid w:val="00772B7C"/>
    <w:rsid w:val="00784816"/>
    <w:rsid w:val="00791CE9"/>
    <w:rsid w:val="007B3602"/>
    <w:rsid w:val="007E2F08"/>
    <w:rsid w:val="007F136C"/>
    <w:rsid w:val="007F6BF1"/>
    <w:rsid w:val="0080579A"/>
    <w:rsid w:val="008315FB"/>
    <w:rsid w:val="0084776B"/>
    <w:rsid w:val="008512B7"/>
    <w:rsid w:val="00857946"/>
    <w:rsid w:val="00877A80"/>
    <w:rsid w:val="008A5C03"/>
    <w:rsid w:val="008E05BF"/>
    <w:rsid w:val="008F1055"/>
    <w:rsid w:val="008F3180"/>
    <w:rsid w:val="00907963"/>
    <w:rsid w:val="0092124A"/>
    <w:rsid w:val="0096078C"/>
    <w:rsid w:val="0096595E"/>
    <w:rsid w:val="00982ADD"/>
    <w:rsid w:val="00982FDE"/>
    <w:rsid w:val="00984A98"/>
    <w:rsid w:val="009B7893"/>
    <w:rsid w:val="009B7DD9"/>
    <w:rsid w:val="009C05A1"/>
    <w:rsid w:val="009C6A1E"/>
    <w:rsid w:val="009E5EE5"/>
    <w:rsid w:val="009F02B3"/>
    <w:rsid w:val="009F59A4"/>
    <w:rsid w:val="00A03B13"/>
    <w:rsid w:val="00A050B0"/>
    <w:rsid w:val="00A05E9E"/>
    <w:rsid w:val="00A05F7E"/>
    <w:rsid w:val="00A16E85"/>
    <w:rsid w:val="00A227A9"/>
    <w:rsid w:val="00A47F67"/>
    <w:rsid w:val="00A507BA"/>
    <w:rsid w:val="00A62348"/>
    <w:rsid w:val="00A62E71"/>
    <w:rsid w:val="00A65710"/>
    <w:rsid w:val="00A73A9E"/>
    <w:rsid w:val="00A936DC"/>
    <w:rsid w:val="00AA7020"/>
    <w:rsid w:val="00AB0A25"/>
    <w:rsid w:val="00AB4410"/>
    <w:rsid w:val="00AC2851"/>
    <w:rsid w:val="00AC555D"/>
    <w:rsid w:val="00AD09CD"/>
    <w:rsid w:val="00AD2501"/>
    <w:rsid w:val="00AE1BB4"/>
    <w:rsid w:val="00AF15BA"/>
    <w:rsid w:val="00B30E74"/>
    <w:rsid w:val="00B31C08"/>
    <w:rsid w:val="00B3320B"/>
    <w:rsid w:val="00B33337"/>
    <w:rsid w:val="00B440E9"/>
    <w:rsid w:val="00B453CB"/>
    <w:rsid w:val="00B6742C"/>
    <w:rsid w:val="00B73C06"/>
    <w:rsid w:val="00B770B9"/>
    <w:rsid w:val="00B8699D"/>
    <w:rsid w:val="00B9771E"/>
    <w:rsid w:val="00BC1E36"/>
    <w:rsid w:val="00BC4AA9"/>
    <w:rsid w:val="00BC7C3B"/>
    <w:rsid w:val="00BE6DBE"/>
    <w:rsid w:val="00C025C1"/>
    <w:rsid w:val="00C22A13"/>
    <w:rsid w:val="00C412C9"/>
    <w:rsid w:val="00C42D9C"/>
    <w:rsid w:val="00C53E15"/>
    <w:rsid w:val="00C56657"/>
    <w:rsid w:val="00CB07AD"/>
    <w:rsid w:val="00CB1533"/>
    <w:rsid w:val="00CD1C39"/>
    <w:rsid w:val="00CD793C"/>
    <w:rsid w:val="00CE5B81"/>
    <w:rsid w:val="00D01CD2"/>
    <w:rsid w:val="00D75050"/>
    <w:rsid w:val="00D842DF"/>
    <w:rsid w:val="00DC1D7C"/>
    <w:rsid w:val="00DC2101"/>
    <w:rsid w:val="00DC5E03"/>
    <w:rsid w:val="00DC7F7A"/>
    <w:rsid w:val="00DE04D2"/>
    <w:rsid w:val="00E047BF"/>
    <w:rsid w:val="00E20A42"/>
    <w:rsid w:val="00E42861"/>
    <w:rsid w:val="00E57FC7"/>
    <w:rsid w:val="00E702C6"/>
    <w:rsid w:val="00E9004D"/>
    <w:rsid w:val="00EA02B9"/>
    <w:rsid w:val="00EA7211"/>
    <w:rsid w:val="00EB5F34"/>
    <w:rsid w:val="00EC4FE2"/>
    <w:rsid w:val="00EF474F"/>
    <w:rsid w:val="00EF4AC5"/>
    <w:rsid w:val="00F1435E"/>
    <w:rsid w:val="00F24E23"/>
    <w:rsid w:val="00F303C6"/>
    <w:rsid w:val="00F367B3"/>
    <w:rsid w:val="00F447A2"/>
    <w:rsid w:val="00F44DCF"/>
    <w:rsid w:val="00F57665"/>
    <w:rsid w:val="00FA0831"/>
    <w:rsid w:val="00FA6BFF"/>
    <w:rsid w:val="00FB0C9F"/>
    <w:rsid w:val="00FB1941"/>
    <w:rsid w:val="00FB252D"/>
    <w:rsid w:val="00FC06AF"/>
    <w:rsid w:val="00FC5A16"/>
    <w:rsid w:val="00FD11E7"/>
    <w:rsid w:val="00FE2ED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21F4"/>
  <w15:docId w15:val="{E95A31D9-22F5-4E7D-ABEC-D38E8529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styleId="BlockText">
    <w:name w:val="Block Text"/>
    <w:basedOn w:val="Normal"/>
    <w:rsid w:val="00B453CB"/>
    <w:pPr>
      <w:suppressAutoHyphens/>
      <w:spacing w:after="280" w:line="300" w:lineRule="exact"/>
      <w:ind w:right="45"/>
    </w:pPr>
    <w:rPr>
      <w:rFonts w:eastAsia="Times" w:cs="Times New Roman"/>
      <w:sz w:val="20"/>
      <w:szCs w:val="20"/>
      <w:lang w:eastAsia="en-AU"/>
    </w:rPr>
  </w:style>
  <w:style w:type="character" w:styleId="CommentReference">
    <w:name w:val="annotation reference"/>
    <w:basedOn w:val="DefaultParagraphFont"/>
    <w:rsid w:val="00B453CB"/>
    <w:rPr>
      <w:sz w:val="16"/>
      <w:szCs w:val="16"/>
    </w:rPr>
  </w:style>
  <w:style w:type="paragraph" w:styleId="CommentText">
    <w:name w:val="annotation text"/>
    <w:basedOn w:val="Normal"/>
    <w:link w:val="CommentTextChar"/>
    <w:rsid w:val="00B453CB"/>
    <w:pPr>
      <w:spacing w:after="0" w:line="240" w:lineRule="auto"/>
    </w:pPr>
    <w:rPr>
      <w:rFonts w:eastAsia="Times" w:cs="Times New Roman"/>
      <w:sz w:val="20"/>
      <w:szCs w:val="20"/>
      <w:lang w:eastAsia="en-AU"/>
    </w:rPr>
  </w:style>
  <w:style w:type="character" w:customStyle="1" w:styleId="CommentTextChar">
    <w:name w:val="Comment Text Char"/>
    <w:basedOn w:val="DefaultParagraphFont"/>
    <w:link w:val="CommentText"/>
    <w:rsid w:val="00B453CB"/>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B45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CB"/>
    <w:rPr>
      <w:rFonts w:ascii="Segoe UI" w:hAnsi="Segoe UI" w:cs="Segoe UI"/>
      <w:sz w:val="18"/>
      <w:szCs w:val="18"/>
    </w:rPr>
  </w:style>
  <w:style w:type="character" w:styleId="Hyperlink">
    <w:name w:val="Hyperlink"/>
    <w:basedOn w:val="DefaultParagraphFont"/>
    <w:uiPriority w:val="99"/>
    <w:unhideWhenUsed/>
    <w:rsid w:val="00B453C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272A7"/>
    <w:pPr>
      <w:spacing w:after="12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2272A7"/>
    <w:rPr>
      <w:rFonts w:ascii="Arial" w:eastAsia="Times" w:hAnsi="Arial" w:cs="Times New Roman"/>
      <w:b/>
      <w:bCs/>
      <w:sz w:val="20"/>
      <w:szCs w:val="20"/>
      <w:lang w:eastAsia="en-AU"/>
    </w:rPr>
  </w:style>
  <w:style w:type="character" w:styleId="FollowedHyperlink">
    <w:name w:val="FollowedHyperlink"/>
    <w:basedOn w:val="DefaultParagraphFont"/>
    <w:uiPriority w:val="99"/>
    <w:semiHidden/>
    <w:unhideWhenUsed/>
    <w:rsid w:val="005B48D0"/>
    <w:rPr>
      <w:color w:val="954F72" w:themeColor="followedHyperlink"/>
      <w:u w:val="single"/>
    </w:rPr>
  </w:style>
  <w:style w:type="paragraph" w:customStyle="1" w:styleId="Default">
    <w:name w:val="Default"/>
    <w:rsid w:val="001825EB"/>
    <w:pPr>
      <w:autoSpaceDE w:val="0"/>
      <w:autoSpaceDN w:val="0"/>
      <w:adjustRightInd w:val="0"/>
    </w:pPr>
    <w:rPr>
      <w:rFonts w:ascii="Arial" w:hAnsi="Arial" w:cs="Arial"/>
      <w:color w:val="000000"/>
    </w:rPr>
  </w:style>
  <w:style w:type="paragraph" w:styleId="Revision">
    <w:name w:val="Revision"/>
    <w:hidden/>
    <w:uiPriority w:val="99"/>
    <w:semiHidden/>
    <w:rsid w:val="00B6742C"/>
    <w:rPr>
      <w:rFonts w:ascii="Arial" w:hAnsi="Arial"/>
      <w:sz w:val="22"/>
    </w:rPr>
  </w:style>
  <w:style w:type="paragraph" w:styleId="FootnoteText">
    <w:name w:val="footnote text"/>
    <w:basedOn w:val="Normal"/>
    <w:link w:val="FootnoteTextChar"/>
    <w:uiPriority w:val="99"/>
    <w:semiHidden/>
    <w:unhideWhenUsed/>
    <w:rsid w:val="002E3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C18"/>
    <w:rPr>
      <w:rFonts w:ascii="Arial" w:hAnsi="Arial"/>
      <w:sz w:val="20"/>
      <w:szCs w:val="20"/>
    </w:rPr>
  </w:style>
  <w:style w:type="character" w:styleId="FootnoteReference">
    <w:name w:val="footnote reference"/>
    <w:basedOn w:val="DefaultParagraphFont"/>
    <w:uiPriority w:val="99"/>
    <w:semiHidden/>
    <w:unhideWhenUsed/>
    <w:rsid w:val="002E3C18"/>
    <w:rPr>
      <w:vertAlign w:val="superscript"/>
    </w:rPr>
  </w:style>
  <w:style w:type="character" w:customStyle="1" w:styleId="UnresolvedMention1">
    <w:name w:val="Unresolved Mention1"/>
    <w:basedOn w:val="DefaultParagraphFont"/>
    <w:uiPriority w:val="99"/>
    <w:semiHidden/>
    <w:unhideWhenUsed/>
    <w:rsid w:val="003F6355"/>
    <w:rPr>
      <w:color w:val="605E5C"/>
      <w:shd w:val="clear" w:color="auto" w:fill="E1DFDD"/>
    </w:rPr>
  </w:style>
  <w:style w:type="character" w:styleId="UnresolvedMention">
    <w:name w:val="Unresolved Mention"/>
    <w:basedOn w:val="DefaultParagraphFont"/>
    <w:uiPriority w:val="99"/>
    <w:semiHidden/>
    <w:unhideWhenUsed/>
    <w:rsid w:val="00491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33868788">
      <w:bodyDiv w:val="1"/>
      <w:marLeft w:val="0"/>
      <w:marRight w:val="0"/>
      <w:marTop w:val="0"/>
      <w:marBottom w:val="0"/>
      <w:divBdr>
        <w:top w:val="none" w:sz="0" w:space="0" w:color="auto"/>
        <w:left w:val="none" w:sz="0" w:space="0" w:color="auto"/>
        <w:bottom w:val="none" w:sz="0" w:space="0" w:color="auto"/>
        <w:right w:val="none" w:sz="0" w:space="0" w:color="auto"/>
      </w:divBdr>
      <w:divsChild>
        <w:div w:id="1163819898">
          <w:marLeft w:val="180"/>
          <w:marRight w:val="0"/>
          <w:marTop w:val="360"/>
          <w:marBottom w:val="180"/>
          <w:divBdr>
            <w:top w:val="single" w:sz="6" w:space="0" w:color="E4E3E3"/>
            <w:left w:val="single" w:sz="6" w:space="0" w:color="E4E3E3"/>
            <w:bottom w:val="single" w:sz="6" w:space="0" w:color="E4E3E3"/>
            <w:right w:val="single" w:sz="6" w:space="0" w:color="E4E3E3"/>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386486884">
      <w:bodyDiv w:val="1"/>
      <w:marLeft w:val="0"/>
      <w:marRight w:val="0"/>
      <w:marTop w:val="0"/>
      <w:marBottom w:val="0"/>
      <w:divBdr>
        <w:top w:val="none" w:sz="0" w:space="0" w:color="auto"/>
        <w:left w:val="none" w:sz="0" w:space="0" w:color="auto"/>
        <w:bottom w:val="none" w:sz="0" w:space="0" w:color="auto"/>
        <w:right w:val="none" w:sz="0" w:space="0" w:color="auto"/>
      </w:divBdr>
      <w:divsChild>
        <w:div w:id="732390359">
          <w:marLeft w:val="180"/>
          <w:marRight w:val="0"/>
          <w:marTop w:val="360"/>
          <w:marBottom w:val="180"/>
          <w:divBdr>
            <w:top w:val="single" w:sz="6" w:space="0" w:color="E4E3E3"/>
            <w:left w:val="single" w:sz="6" w:space="0" w:color="E4E3E3"/>
            <w:bottom w:val="single" w:sz="6" w:space="0" w:color="E4E3E3"/>
            <w:right w:val="single" w:sz="6" w:space="0" w:color="E4E3E3"/>
          </w:divBdr>
        </w:div>
      </w:divsChild>
    </w:div>
    <w:div w:id="1740863080">
      <w:bodyDiv w:val="1"/>
      <w:marLeft w:val="0"/>
      <w:marRight w:val="0"/>
      <w:marTop w:val="0"/>
      <w:marBottom w:val="0"/>
      <w:divBdr>
        <w:top w:val="none" w:sz="0" w:space="0" w:color="auto"/>
        <w:left w:val="none" w:sz="0" w:space="0" w:color="auto"/>
        <w:bottom w:val="none" w:sz="0" w:space="0" w:color="auto"/>
        <w:right w:val="none" w:sz="0" w:space="0" w:color="auto"/>
      </w:divBdr>
      <w:divsChild>
        <w:div w:id="1147088061">
          <w:marLeft w:val="180"/>
          <w:marRight w:val="0"/>
          <w:marTop w:val="360"/>
          <w:marBottom w:val="180"/>
          <w:divBdr>
            <w:top w:val="single" w:sz="6" w:space="0" w:color="E4E3E3"/>
            <w:left w:val="single" w:sz="6" w:space="0" w:color="E4E3E3"/>
            <w:bottom w:val="single" w:sz="6" w:space="0" w:color="E4E3E3"/>
            <w:right w:val="single" w:sz="6" w:space="0" w:color="E4E3E3"/>
          </w:divBdr>
        </w:div>
      </w:divsChild>
    </w:div>
    <w:div w:id="1875314485">
      <w:bodyDiv w:val="1"/>
      <w:marLeft w:val="0"/>
      <w:marRight w:val="0"/>
      <w:marTop w:val="0"/>
      <w:marBottom w:val="0"/>
      <w:divBdr>
        <w:top w:val="none" w:sz="0" w:space="0" w:color="auto"/>
        <w:left w:val="none" w:sz="0" w:space="0" w:color="auto"/>
        <w:bottom w:val="none" w:sz="0" w:space="0" w:color="auto"/>
        <w:right w:val="none" w:sz="0" w:space="0" w:color="auto"/>
      </w:divBdr>
      <w:divsChild>
        <w:div w:id="887229480">
          <w:marLeft w:val="0"/>
          <w:marRight w:val="0"/>
          <w:marTop w:val="0"/>
          <w:marBottom w:val="0"/>
          <w:divBdr>
            <w:top w:val="none" w:sz="0" w:space="0" w:color="auto"/>
            <w:left w:val="none" w:sz="0" w:space="0" w:color="auto"/>
            <w:bottom w:val="none" w:sz="0" w:space="0" w:color="auto"/>
            <w:right w:val="none" w:sz="0" w:space="0" w:color="auto"/>
          </w:divBdr>
        </w:div>
      </w:divsChild>
    </w:div>
    <w:div w:id="2019769818">
      <w:bodyDiv w:val="1"/>
      <w:marLeft w:val="0"/>
      <w:marRight w:val="0"/>
      <w:marTop w:val="0"/>
      <w:marBottom w:val="0"/>
      <w:divBdr>
        <w:top w:val="none" w:sz="0" w:space="0" w:color="auto"/>
        <w:left w:val="none" w:sz="0" w:space="0" w:color="auto"/>
        <w:bottom w:val="none" w:sz="0" w:space="0" w:color="auto"/>
        <w:right w:val="none" w:sz="0" w:space="0" w:color="auto"/>
      </w:divBdr>
      <w:divsChild>
        <w:div w:id="1649286996">
          <w:marLeft w:val="180"/>
          <w:marRight w:val="0"/>
          <w:marTop w:val="360"/>
          <w:marBottom w:val="180"/>
          <w:divBdr>
            <w:top w:val="single" w:sz="6" w:space="0" w:color="E4E3E3"/>
            <w:left w:val="single" w:sz="6" w:space="0" w:color="E4E3E3"/>
            <w:bottom w:val="single" w:sz="6" w:space="0" w:color="E4E3E3"/>
            <w:right w:val="single" w:sz="6" w:space="0" w:color="E4E3E3"/>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html/inforce/current/act-2006-039" TargetMode="External"/><Relationship Id="rId18" Type="http://schemas.openxmlformats.org/officeDocument/2006/relationships/hyperlink" Target="http://advancingeducation.qld.gov.au/Pages/default.aspx" TargetMode="External"/><Relationship Id="rId26" Type="http://schemas.openxmlformats.org/officeDocument/2006/relationships/hyperlink" Target="https://ppr.qed.qld.gov.au/pp/supporting-students-with-asthma-and-or-at-risk-of-anaphylaxis-at-school-procedure" TargetMode="External"/><Relationship Id="rId3" Type="http://schemas.openxmlformats.org/officeDocument/2006/relationships/customXml" Target="../customXml/item3.xml"/><Relationship Id="rId21" Type="http://schemas.openxmlformats.org/officeDocument/2006/relationships/hyperlink" Target="https://ppr.qed.qld.gov.au/pp/inclusive-education-policy" TargetMode="External"/><Relationship Id="rId34" Type="http://schemas.openxmlformats.org/officeDocument/2006/relationships/hyperlink" Target="mailto:support.diversity@qed.qld.gov.au" TargetMode="External"/><Relationship Id="rId7" Type="http://schemas.openxmlformats.org/officeDocument/2006/relationships/settings" Target="settings.xml"/><Relationship Id="rId12" Type="http://schemas.openxmlformats.org/officeDocument/2006/relationships/hyperlink" Target="https://ppr.qed.qld.gov.au/delegation/education-general-provisions-act-2006-director-general-delegations.pdf" TargetMode="External"/><Relationship Id="rId17" Type="http://schemas.openxmlformats.org/officeDocument/2006/relationships/hyperlink" Target="https://www.legislation.gov.au/Details/F2005L00767" TargetMode="External"/><Relationship Id="rId25" Type="http://schemas.openxmlformats.org/officeDocument/2006/relationships/hyperlink" Target="https://ppr.qed.qld.gov.au/pp/managing-students-health-support-needs-at-school-procedure" TargetMode="External"/><Relationship Id="rId33" Type="http://schemas.openxmlformats.org/officeDocument/2006/relationships/hyperlink" Target="https://education.qld.gov.au/students/students-with-disability/supports-for-students-with-disability/general-information" TargetMode="External"/><Relationship Id="rId2" Type="http://schemas.openxmlformats.org/officeDocument/2006/relationships/customXml" Target="../customXml/item2.xml"/><Relationship Id="rId16" Type="http://schemas.openxmlformats.org/officeDocument/2006/relationships/hyperlink" Target="https://www.legislation.gov.au/Details/C2018C00125" TargetMode="External"/><Relationship Id="rId20" Type="http://schemas.openxmlformats.org/officeDocument/2006/relationships/hyperlink" Target="https://education.qld.gov.au/initiatives-and-strategies/strategies-and-programs/every-student-with-disability-succeeding-plan" TargetMode="External"/><Relationship Id="rId29" Type="http://schemas.openxmlformats.org/officeDocument/2006/relationships/hyperlink" Target="https://education.qld.gov.au/parents-and-carers/community-eng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state-special-school-enrolment-additional-requirements-procedure" TargetMode="External"/><Relationship Id="rId24" Type="http://schemas.openxmlformats.org/officeDocument/2006/relationships/hyperlink" Target="https://ppr.qed.qld.gov.au/pp/state-special-school-enrolment-additional-requirements-procedure" TargetMode="External"/><Relationship Id="rId32" Type="http://schemas.openxmlformats.org/officeDocument/2006/relationships/hyperlink" Target="https://education.qld.gov.au/students/inclusive-educatio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qld.gov.au/view/html/inforce/current/act-1991-085" TargetMode="External"/><Relationship Id="rId23" Type="http://schemas.openxmlformats.org/officeDocument/2006/relationships/hyperlink" Target="https://ppr.qed.qld.gov.au/pp/enrolment-in-state-primary-secondary-and-special-schools-procedure" TargetMode="External"/><Relationship Id="rId28" Type="http://schemas.openxmlformats.org/officeDocument/2006/relationships/hyperlink" Target="https://education.qld.gov.au/curriculum/stages-of-schooling/p-12"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initiatives-and-strategies/strategies-and-programs/state-schools-improvement-strategy" TargetMode="External"/><Relationship Id="rId31" Type="http://schemas.openxmlformats.org/officeDocument/2006/relationships/hyperlink" Target="https://ppr.qed.qld.gov.au/attachment/parent-carer-factsheet-queensland-state-special-school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pdf/inforce/2017-09-01/sl-2017-0161" TargetMode="External"/><Relationship Id="rId22" Type="http://schemas.openxmlformats.org/officeDocument/2006/relationships/hyperlink" Target="https://qed.qld.gov.au/publications/strategies/strategic-plan" TargetMode="External"/><Relationship Id="rId27" Type="http://schemas.openxmlformats.org/officeDocument/2006/relationships/hyperlink" Target="https://ppr.qed.qld.gov.au/attachment/state-special-school-enrolment-decision-making-guidelines.docx" TargetMode="External"/><Relationship Id="rId30" Type="http://schemas.openxmlformats.org/officeDocument/2006/relationships/hyperlink" Target="https://education.qld.gov.au/students/student-health-safety-wellbeing/student-wellbeing"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WATKINS, Lydia</DisplayName>
        <AccountId>112</AccountId>
        <AccountType/>
      </UserInfo>
    </PPLastReviewedBy>
    <PPModeratedBy xmlns="f114f5df-7614-43c1-ba8e-2daa6e537108">
      <UserInfo>
        <DisplayName>WATKINS, Lydia</DisplayName>
        <AccountId>112</AccountId>
        <AccountType/>
      </UserInfo>
    </PPModeratedBy>
    <PPSubmittedBy xmlns="f114f5df-7614-43c1-ba8e-2daa6e537108">
      <UserInfo>
        <DisplayName>WATKINS, Lydia</DisplayName>
        <AccountId>112</AccountId>
        <AccountType/>
      </UserInfo>
    </PPSubmittedBy>
    <PPReferenceNumber xmlns="f114f5df-7614-43c1-ba8e-2daa6e537108" xsi:nil="true"/>
    <PPModeratedDate xmlns="f114f5df-7614-43c1-ba8e-2daa6e537108">2021-09-02T23:49:08+00:00</PPModeratedDate>
    <PPLastReviewedDate xmlns="f114f5df-7614-43c1-ba8e-2daa6e537108">2021-09-02T23:49:08+00:00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2021-08-31T00:57:52+00:00</PPSubmittedDate>
    <PPPublishedNotificationAddresses xmlns="f114f5df-7614-43c1-ba8e-2daa6e537108" xsi:nil="true"/>
    <PPReviewDate xmlns="f114f5df-7614-43c1-ba8e-2daa6e537108" xsi:nil="true"/>
    <Category_x0020_Students xmlns="f114f5df-7614-43c1-ba8e-2daa6e5371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4DF61-F979-49FC-AC10-0AB14BDA3B68}"/>
</file>

<file path=customXml/itemProps2.xml><?xml version="1.0" encoding="utf-8"?>
<ds:datastoreItem xmlns:ds="http://schemas.openxmlformats.org/officeDocument/2006/customXml" ds:itemID="{2664F53A-54D8-4C02-A187-F8817AE39642}"/>
</file>

<file path=customXml/itemProps3.xml><?xml version="1.0" encoding="utf-8"?>
<ds:datastoreItem xmlns:ds="http://schemas.openxmlformats.org/officeDocument/2006/customXml" ds:itemID="{C2BCC192-4486-4544-82AB-455F14AD7F16}"/>
</file>

<file path=customXml/itemProps4.xml><?xml version="1.0" encoding="utf-8"?>
<ds:datastoreItem xmlns:ds="http://schemas.openxmlformats.org/officeDocument/2006/customXml" ds:itemID="{243221BB-E876-49BD-86CA-912A78C3945E}"/>
</file>

<file path=docProps/app.xml><?xml version="1.0" encoding="utf-8"?>
<Properties xmlns="http://schemas.openxmlformats.org/officeDocument/2006/extended-properties" xmlns:vt="http://schemas.openxmlformats.org/officeDocument/2006/docPropsVTypes">
  <Template>Normal.dotm</Template>
  <TotalTime>22</TotalTime>
  <Pages>6</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Special school eligibility (“person with a disability” criteria) policy</vt:lpstr>
    </vt:vector>
  </TitlesOfParts>
  <Company>Queensland Government</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school eligibility (“person with a disability” criteria) policy</dc:title>
  <dc:subject>Special school eligibility (“person with a disability” criteria) policy</dc:subject>
  <dc:creator>Queensland Government</dc:creator>
  <cp:keywords>Special school; eligibility; person with a disability; criteria; policy</cp:keywords>
  <cp:revision>5</cp:revision>
  <cp:lastPrinted>2018-09-06T02:05:00Z</cp:lastPrinted>
  <dcterms:created xsi:type="dcterms:W3CDTF">2021-07-20T23:32:00Z</dcterms:created>
  <dcterms:modified xsi:type="dcterms:W3CDTF">2021-07-26T01:34:00Z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y fmtid="{D5CDD505-2E9C-101B-9397-08002B2CF9AE}" pid="3" name="URL">
    <vt:lpwstr/>
  </property>
</Properties>
</file>